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FF87">
      <w:pPr>
        <w:pStyle w:val="2"/>
        <w:bidi w:val="0"/>
        <w:jc w:val="center"/>
      </w:pPr>
      <w:r>
        <w:rPr>
          <w:rFonts w:hint="eastAsia"/>
          <w:lang w:val="en-US" w:eastAsia="zh-CN"/>
        </w:rPr>
        <w:t>陕西省</w:t>
      </w:r>
      <w:r>
        <w:rPr>
          <w:rFonts w:hint="eastAsia"/>
        </w:rPr>
        <w:t>融资担保业协会入会材料</w:t>
      </w:r>
    </w:p>
    <w:p w14:paraId="646B4F7E">
      <w:pPr>
        <w:shd w:val="clear" w:color="auto" w:fill="FFFFFF"/>
        <w:spacing w:line="600" w:lineRule="exact"/>
        <w:jc w:val="center"/>
        <w:outlineLvl w:val="1"/>
        <w:rPr>
          <w:rFonts w:ascii="黑体" w:hAnsi="黑体" w:eastAsia="黑体" w:cs="Arial"/>
          <w:color w:val="000000"/>
          <w:kern w:val="36"/>
          <w:sz w:val="18"/>
          <w:szCs w:val="36"/>
        </w:rPr>
      </w:pPr>
      <w:bookmarkStart w:id="2" w:name="_GoBack"/>
      <w:bookmarkEnd w:id="2"/>
    </w:p>
    <w:p w14:paraId="77A2FA6C">
      <w:pPr>
        <w:widowControl/>
        <w:shd w:val="clear" w:color="auto" w:fill="FFFFFF"/>
        <w:spacing w:line="432" w:lineRule="atLeast"/>
        <w:ind w:firstLine="450" w:firstLineChars="150"/>
        <w:jc w:val="left"/>
        <w:rPr>
          <w:rFonts w:ascii="仿宋" w:hAnsi="仿宋" w:eastAsia="仿宋" w:cs="Arial"/>
          <w:b/>
          <w:color w:val="000000"/>
          <w:kern w:val="0"/>
          <w:sz w:val="30"/>
          <w:szCs w:val="30"/>
        </w:rPr>
      </w:pPr>
      <w:r>
        <w:rPr>
          <w:rFonts w:hint="eastAsia" w:ascii="仿宋" w:hAnsi="仿宋" w:eastAsia="仿宋" w:cs="Arial"/>
          <w:b/>
          <w:color w:val="000000"/>
          <w:kern w:val="0"/>
          <w:sz w:val="30"/>
          <w:szCs w:val="30"/>
        </w:rPr>
        <w:t>申请入会机构需提供以下资料：</w:t>
      </w:r>
    </w:p>
    <w:p w14:paraId="775E260F">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1、入会申请书（见附件一</w:t>
      </w:r>
      <w:r>
        <w:rPr>
          <w:rFonts w:hint="eastAsia" w:ascii="仿宋" w:hAnsi="仿宋" w:eastAsia="仿宋" w:cs="Arial"/>
          <w:color w:val="000000"/>
          <w:kern w:val="0"/>
          <w:sz w:val="30"/>
          <w:szCs w:val="30"/>
          <w:lang w:eastAsia="zh-CN"/>
        </w:rPr>
        <w:t>，</w:t>
      </w:r>
      <w:r>
        <w:rPr>
          <w:rFonts w:hint="eastAsia" w:ascii="仿宋" w:hAnsi="仿宋" w:eastAsia="仿宋" w:cs="Arial"/>
          <w:color w:val="000000"/>
          <w:kern w:val="0"/>
          <w:sz w:val="30"/>
          <w:szCs w:val="30"/>
        </w:rPr>
        <w:t>回传扫描版及电子版）；</w:t>
      </w:r>
    </w:p>
    <w:p w14:paraId="4D3A33F5">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2、</w:t>
      </w:r>
      <w:r>
        <w:rPr>
          <w:rFonts w:hint="eastAsia" w:ascii="仿宋" w:hAnsi="仿宋" w:eastAsia="仿宋"/>
          <w:sz w:val="30"/>
          <w:szCs w:val="30"/>
          <w:lang w:val="en-US" w:eastAsia="zh-CN"/>
        </w:rPr>
        <w:t>陕西省</w:t>
      </w:r>
      <w:r>
        <w:rPr>
          <w:rFonts w:hint="eastAsia" w:ascii="仿宋" w:hAnsi="仿宋" w:eastAsia="仿宋"/>
          <w:sz w:val="30"/>
          <w:szCs w:val="30"/>
        </w:rPr>
        <w:t>融资担保业协会会员信息登记表</w:t>
      </w:r>
      <w:r>
        <w:rPr>
          <w:rFonts w:hint="eastAsia" w:ascii="仿宋" w:hAnsi="仿宋" w:eastAsia="仿宋" w:cs="Arial"/>
          <w:color w:val="000000"/>
          <w:kern w:val="0"/>
          <w:sz w:val="30"/>
          <w:szCs w:val="30"/>
        </w:rPr>
        <w:t>（见附件二,回传扫描版及电子版）；</w:t>
      </w:r>
    </w:p>
    <w:p w14:paraId="5830FA7B">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3、</w:t>
      </w:r>
      <w:r>
        <w:rPr>
          <w:rFonts w:hint="eastAsia" w:ascii="仿宋" w:hAnsi="仿宋" w:eastAsia="仿宋"/>
          <w:sz w:val="30"/>
          <w:szCs w:val="30"/>
          <w:lang w:val="en-US" w:eastAsia="zh-CN"/>
        </w:rPr>
        <w:t>陕西省</w:t>
      </w:r>
      <w:r>
        <w:rPr>
          <w:rFonts w:hint="eastAsia" w:ascii="仿宋" w:hAnsi="仿宋" w:eastAsia="仿宋"/>
          <w:sz w:val="30"/>
          <w:szCs w:val="30"/>
        </w:rPr>
        <w:t>融资担保业协会会员简介</w:t>
      </w:r>
      <w:r>
        <w:rPr>
          <w:rFonts w:hint="eastAsia" w:ascii="仿宋" w:hAnsi="仿宋" w:eastAsia="仿宋" w:cs="Arial"/>
          <w:color w:val="000000"/>
          <w:kern w:val="0"/>
          <w:sz w:val="30"/>
          <w:szCs w:val="30"/>
        </w:rPr>
        <w:t>(见</w:t>
      </w:r>
      <w:r>
        <w:rPr>
          <w:rFonts w:ascii="仿宋" w:hAnsi="仿宋" w:eastAsia="仿宋" w:cs="Arial"/>
          <w:color w:val="000000"/>
          <w:kern w:val="0"/>
          <w:sz w:val="30"/>
          <w:szCs w:val="30"/>
        </w:rPr>
        <w:t>附件三</w:t>
      </w:r>
      <w:r>
        <w:rPr>
          <w:rFonts w:hint="eastAsia" w:ascii="仿宋" w:hAnsi="仿宋" w:eastAsia="仿宋" w:cs="Arial"/>
          <w:color w:val="000000"/>
          <w:kern w:val="0"/>
          <w:sz w:val="30"/>
          <w:szCs w:val="30"/>
        </w:rPr>
        <w:t>，回传扫描版及电子版）;</w:t>
      </w:r>
    </w:p>
    <w:p w14:paraId="11A8BF82">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4、营业执照副本复印件；</w:t>
      </w:r>
    </w:p>
    <w:p w14:paraId="38CEA683">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5、融资性担保机构经营许可证或融资担保业务经营许可证复印件。</w:t>
      </w:r>
    </w:p>
    <w:p w14:paraId="62CD1073">
      <w:pPr>
        <w:widowControl/>
        <w:shd w:val="clear" w:color="auto" w:fill="FFFFFF"/>
        <w:spacing w:line="432" w:lineRule="atLeast"/>
        <w:ind w:firstLine="600" w:firstLineChars="200"/>
        <w:jc w:val="left"/>
        <w:rPr>
          <w:rFonts w:hint="default" w:ascii="仿宋" w:hAnsi="仿宋" w:eastAsia="仿宋" w:cs="Arial"/>
          <w:b/>
          <w:color w:val="000000"/>
          <w:kern w:val="0"/>
          <w:sz w:val="30"/>
          <w:szCs w:val="30"/>
          <w:lang w:val="en-US"/>
        </w:rPr>
      </w:pPr>
      <w:r>
        <w:rPr>
          <w:rFonts w:hint="eastAsia" w:ascii="仿宋" w:hAnsi="仿宋" w:eastAsia="仿宋" w:cs="Arial"/>
          <w:b/>
          <w:color w:val="000000"/>
          <w:kern w:val="0"/>
          <w:sz w:val="30"/>
          <w:szCs w:val="30"/>
          <w:lang w:val="en-US" w:eastAsia="zh-CN"/>
        </w:rPr>
        <w:t>联系人：李怡晨 029-88606038转8507</w:t>
      </w:r>
    </w:p>
    <w:p w14:paraId="78DBF075">
      <w:pPr>
        <w:widowControl/>
        <w:shd w:val="clear" w:color="auto" w:fill="FFFFFF"/>
        <w:spacing w:line="432" w:lineRule="atLeast"/>
        <w:ind w:firstLine="600" w:firstLineChars="200"/>
        <w:jc w:val="left"/>
        <w:rPr>
          <w:rFonts w:hint="eastAsia" w:ascii="仿宋" w:hAnsi="仿宋" w:eastAsia="仿宋" w:cs="Arial"/>
          <w:b/>
          <w:color w:val="000000"/>
          <w:kern w:val="0"/>
          <w:sz w:val="30"/>
          <w:szCs w:val="30"/>
        </w:rPr>
      </w:pPr>
    </w:p>
    <w:p w14:paraId="79EEE811">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b/>
          <w:color w:val="000000"/>
          <w:kern w:val="0"/>
          <w:sz w:val="30"/>
          <w:szCs w:val="30"/>
        </w:rPr>
        <w:t>申请入会机构请按要求提供以上</w:t>
      </w:r>
      <w:r>
        <w:rPr>
          <w:rFonts w:ascii="仿宋" w:hAnsi="仿宋" w:eastAsia="仿宋" w:cs="Arial"/>
          <w:b/>
          <w:color w:val="000000"/>
          <w:kern w:val="0"/>
          <w:sz w:val="30"/>
          <w:szCs w:val="30"/>
        </w:rPr>
        <w:t>材料</w:t>
      </w:r>
      <w:r>
        <w:rPr>
          <w:rFonts w:hint="eastAsia" w:ascii="仿宋" w:hAnsi="仿宋" w:eastAsia="仿宋" w:cs="Arial"/>
          <w:b/>
          <w:color w:val="000000"/>
          <w:kern w:val="0"/>
          <w:sz w:val="30"/>
          <w:szCs w:val="30"/>
        </w:rPr>
        <w:t>，附件1、附件2、附件3需加</w:t>
      </w:r>
      <w:r>
        <w:rPr>
          <w:rFonts w:ascii="仿宋" w:hAnsi="仿宋" w:eastAsia="仿宋" w:cs="Arial"/>
          <w:b/>
          <w:color w:val="000000"/>
          <w:kern w:val="0"/>
          <w:sz w:val="30"/>
          <w:szCs w:val="30"/>
        </w:rPr>
        <w:t>盖单位公章</w:t>
      </w:r>
      <w:r>
        <w:rPr>
          <w:rFonts w:hint="eastAsia" w:ascii="仿宋" w:hAnsi="仿宋" w:eastAsia="仿宋" w:cs="Arial"/>
          <w:b/>
          <w:color w:val="000000"/>
          <w:kern w:val="0"/>
          <w:sz w:val="30"/>
          <w:szCs w:val="30"/>
        </w:rPr>
        <w:t>。以上资料扫描后以电子邮件（</w:t>
      </w:r>
      <w:r>
        <w:rPr>
          <w:rFonts w:hint="eastAsia" w:ascii="仿宋" w:hAnsi="仿宋" w:eastAsia="仿宋" w:cs="Arial"/>
          <w:b/>
          <w:color w:val="000000"/>
          <w:kern w:val="0"/>
          <w:sz w:val="30"/>
          <w:szCs w:val="30"/>
          <w:lang w:val="en-US" w:eastAsia="zh-CN"/>
        </w:rPr>
        <w:t>shandanxie@126.com</w:t>
      </w:r>
      <w:r>
        <w:rPr>
          <w:rFonts w:hint="eastAsia" w:ascii="仿宋" w:hAnsi="仿宋" w:eastAsia="仿宋" w:cs="Arial"/>
          <w:b/>
          <w:color w:val="000000"/>
          <w:kern w:val="0"/>
          <w:sz w:val="30"/>
          <w:szCs w:val="30"/>
        </w:rPr>
        <w:t>）形式发送至</w:t>
      </w:r>
      <w:r>
        <w:rPr>
          <w:rFonts w:hint="eastAsia" w:ascii="仿宋" w:hAnsi="仿宋" w:eastAsia="仿宋" w:cs="Arial"/>
          <w:b/>
          <w:color w:val="000000"/>
          <w:kern w:val="0"/>
          <w:sz w:val="30"/>
          <w:szCs w:val="30"/>
          <w:lang w:val="en-US" w:eastAsia="zh-CN"/>
        </w:rPr>
        <w:t>陕担协</w:t>
      </w:r>
      <w:r>
        <w:rPr>
          <w:rFonts w:hint="eastAsia" w:ascii="仿宋" w:hAnsi="仿宋" w:eastAsia="仿宋" w:cs="Arial"/>
          <w:b/>
          <w:color w:val="000000"/>
          <w:kern w:val="0"/>
          <w:sz w:val="30"/>
          <w:szCs w:val="30"/>
        </w:rPr>
        <w:t>协秘书处。</w:t>
      </w:r>
    </w:p>
    <w:p w14:paraId="7F5EB6A1">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附件一：入会申请书</w:t>
      </w:r>
    </w:p>
    <w:p w14:paraId="7BDFD5AA">
      <w:pPr>
        <w:widowControl/>
        <w:shd w:val="clear" w:color="auto" w:fill="FFFFFF"/>
        <w:spacing w:line="432" w:lineRule="atLeast"/>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附件二</w:t>
      </w:r>
      <w:r>
        <w:rPr>
          <w:rFonts w:ascii="仿宋" w:hAnsi="仿宋" w:eastAsia="仿宋" w:cs="Arial"/>
          <w:color w:val="000000"/>
          <w:kern w:val="0"/>
          <w:sz w:val="30"/>
          <w:szCs w:val="30"/>
        </w:rPr>
        <w:t>：</w:t>
      </w:r>
      <w:r>
        <w:rPr>
          <w:rFonts w:hint="eastAsia" w:ascii="仿宋" w:hAnsi="仿宋" w:eastAsia="仿宋"/>
          <w:sz w:val="30"/>
          <w:szCs w:val="30"/>
          <w:lang w:val="en-US" w:eastAsia="zh-CN"/>
        </w:rPr>
        <w:t>陕西省</w:t>
      </w:r>
      <w:r>
        <w:rPr>
          <w:rFonts w:hint="eastAsia" w:ascii="仿宋" w:hAnsi="仿宋" w:eastAsia="仿宋"/>
          <w:sz w:val="30"/>
          <w:szCs w:val="30"/>
        </w:rPr>
        <w:t>融资担保业协会会员信息登记表</w:t>
      </w:r>
    </w:p>
    <w:p w14:paraId="14E927AC">
      <w:pPr>
        <w:widowControl/>
        <w:shd w:val="clear" w:color="auto" w:fill="FFFFFF"/>
        <w:spacing w:line="432" w:lineRule="atLeast"/>
        <w:ind w:firstLine="600" w:firstLineChars="200"/>
        <w:jc w:val="left"/>
        <w:rPr>
          <w:rFonts w:ascii="仿宋" w:hAnsi="仿宋" w:eastAsia="仿宋"/>
          <w:sz w:val="30"/>
          <w:szCs w:val="30"/>
        </w:rPr>
      </w:pPr>
      <w:r>
        <w:rPr>
          <w:rFonts w:hint="eastAsia" w:ascii="仿宋" w:hAnsi="仿宋" w:eastAsia="仿宋" w:cs="Arial"/>
          <w:color w:val="000000"/>
          <w:kern w:val="0"/>
          <w:sz w:val="30"/>
          <w:szCs w:val="30"/>
        </w:rPr>
        <w:t>附件三</w:t>
      </w:r>
      <w:r>
        <w:rPr>
          <w:rFonts w:ascii="仿宋" w:hAnsi="仿宋" w:eastAsia="仿宋" w:cs="Arial"/>
          <w:color w:val="000000"/>
          <w:kern w:val="0"/>
          <w:sz w:val="30"/>
          <w:szCs w:val="30"/>
        </w:rPr>
        <w:t>：</w:t>
      </w:r>
      <w:r>
        <w:rPr>
          <w:rFonts w:hint="eastAsia" w:ascii="仿宋" w:hAnsi="仿宋" w:eastAsia="仿宋"/>
          <w:sz w:val="30"/>
          <w:szCs w:val="30"/>
          <w:lang w:val="en-US" w:eastAsia="zh-CN"/>
        </w:rPr>
        <w:t>陕西省</w:t>
      </w:r>
      <w:r>
        <w:rPr>
          <w:rFonts w:hint="eastAsia" w:ascii="仿宋" w:hAnsi="仿宋" w:eastAsia="仿宋"/>
          <w:sz w:val="30"/>
          <w:szCs w:val="30"/>
        </w:rPr>
        <w:t>融资担保业协会会员简介</w:t>
      </w:r>
    </w:p>
    <w:p w14:paraId="608CB433">
      <w:pPr>
        <w:widowControl/>
        <w:shd w:val="clear" w:color="auto" w:fill="FFFFFF"/>
        <w:spacing w:line="432" w:lineRule="atLeast"/>
        <w:ind w:firstLine="600" w:firstLineChars="200"/>
        <w:jc w:val="left"/>
        <w:rPr>
          <w:rFonts w:ascii="仿宋" w:hAnsi="仿宋" w:eastAsia="仿宋"/>
          <w:sz w:val="30"/>
          <w:szCs w:val="30"/>
        </w:rPr>
      </w:pPr>
      <w:r>
        <w:rPr>
          <w:rFonts w:hint="eastAsia" w:ascii="仿宋" w:hAnsi="仿宋" w:eastAsia="仿宋"/>
          <w:sz w:val="30"/>
          <w:szCs w:val="30"/>
        </w:rPr>
        <w:t>附件四：《</w:t>
      </w:r>
      <w:r>
        <w:rPr>
          <w:rFonts w:hint="eastAsia" w:ascii="仿宋" w:hAnsi="仿宋" w:eastAsia="仿宋"/>
          <w:sz w:val="30"/>
          <w:szCs w:val="30"/>
          <w:lang w:val="en-US" w:eastAsia="zh-CN"/>
        </w:rPr>
        <w:t>陕西省</w:t>
      </w:r>
      <w:r>
        <w:rPr>
          <w:rFonts w:hint="eastAsia" w:ascii="仿宋" w:hAnsi="仿宋" w:eastAsia="仿宋"/>
          <w:sz w:val="30"/>
          <w:szCs w:val="30"/>
        </w:rPr>
        <w:t>融资担保业协会章程》</w:t>
      </w:r>
    </w:p>
    <w:p w14:paraId="7720F5C9">
      <w:pPr>
        <w:widowControl/>
        <w:shd w:val="clear" w:color="auto" w:fill="FFFFFF"/>
        <w:spacing w:line="432" w:lineRule="atLeast"/>
        <w:ind w:firstLine="600" w:firstLineChars="200"/>
        <w:jc w:val="left"/>
        <w:rPr>
          <w:rFonts w:hint="eastAsia" w:ascii="仿宋" w:hAnsi="仿宋" w:eastAsia="仿宋" w:cs="Arial"/>
          <w:color w:val="000000"/>
          <w:kern w:val="0"/>
          <w:sz w:val="30"/>
          <w:szCs w:val="30"/>
        </w:rPr>
      </w:pPr>
      <w:r>
        <w:rPr>
          <w:rFonts w:hint="eastAsia" w:ascii="仿宋" w:hAnsi="仿宋" w:eastAsia="仿宋"/>
          <w:sz w:val="30"/>
          <w:szCs w:val="30"/>
        </w:rPr>
        <w:t>附件五：《</w:t>
      </w:r>
      <w:r>
        <w:rPr>
          <w:rFonts w:hint="eastAsia" w:ascii="仿宋" w:hAnsi="仿宋" w:eastAsia="仿宋"/>
          <w:sz w:val="30"/>
          <w:szCs w:val="30"/>
          <w:lang w:val="en-US" w:eastAsia="zh-CN"/>
        </w:rPr>
        <w:t>陕西省融资担保业协会会费收取标准及管理办法</w:t>
      </w:r>
      <w:r>
        <w:rPr>
          <w:rFonts w:hint="eastAsia" w:ascii="仿宋" w:hAnsi="仿宋" w:eastAsia="仿宋"/>
          <w:sz w:val="30"/>
          <w:szCs w:val="30"/>
        </w:rPr>
        <w:t>》</w:t>
      </w:r>
    </w:p>
    <w:p w14:paraId="22CB3E56">
      <w:pPr>
        <w:widowControl/>
        <w:shd w:val="clear" w:color="auto" w:fill="FFFFFF"/>
        <w:spacing w:line="432" w:lineRule="atLeast"/>
        <w:jc w:val="left"/>
        <w:rPr>
          <w:rFonts w:hint="eastAsia" w:ascii="仿宋" w:hAnsi="仿宋" w:eastAsia="仿宋" w:cs="Arial"/>
          <w:color w:val="000000"/>
          <w:kern w:val="0"/>
          <w:sz w:val="30"/>
          <w:szCs w:val="30"/>
        </w:rPr>
      </w:pPr>
    </w:p>
    <w:p w14:paraId="1306D9B4">
      <w:pPr>
        <w:widowControl/>
        <w:shd w:val="clear" w:color="auto" w:fill="FFFFFF"/>
        <w:spacing w:line="432" w:lineRule="atLeast"/>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附件一：</w:t>
      </w:r>
    </w:p>
    <w:p w14:paraId="2B81133E">
      <w:pPr>
        <w:shd w:val="clear" w:color="auto" w:fill="FFFFFF"/>
        <w:spacing w:line="900" w:lineRule="atLeast"/>
        <w:jc w:val="center"/>
        <w:outlineLvl w:val="1"/>
        <w:rPr>
          <w:rFonts w:ascii="黑体" w:hAnsi="黑体" w:eastAsia="黑体" w:cs="Arial"/>
          <w:color w:val="000000"/>
          <w:kern w:val="36"/>
          <w:sz w:val="36"/>
          <w:szCs w:val="36"/>
        </w:rPr>
      </w:pPr>
      <w:r>
        <w:rPr>
          <w:rFonts w:hint="eastAsia" w:ascii="黑体" w:hAnsi="黑体" w:eastAsia="黑体" w:cs="Arial"/>
          <w:color w:val="000000"/>
          <w:kern w:val="36"/>
          <w:sz w:val="36"/>
          <w:szCs w:val="36"/>
        </w:rPr>
        <w:t>入会申请书</w:t>
      </w:r>
    </w:p>
    <w:p w14:paraId="69B95F65">
      <w:pPr>
        <w:shd w:val="clear" w:color="auto" w:fill="FFFFFF"/>
        <w:spacing w:line="900" w:lineRule="atLeast"/>
        <w:jc w:val="center"/>
        <w:outlineLvl w:val="1"/>
        <w:rPr>
          <w:rFonts w:ascii="黑体" w:hAnsi="黑体" w:eastAsia="黑体" w:cs="Arial"/>
          <w:color w:val="000000"/>
          <w:kern w:val="36"/>
          <w:sz w:val="36"/>
          <w:szCs w:val="36"/>
        </w:rPr>
      </w:pPr>
    </w:p>
    <w:p w14:paraId="10767C0B">
      <w:pPr>
        <w:shd w:val="clear" w:color="auto" w:fill="FFFFFF"/>
        <w:spacing w:after="156" w:afterLines="50"/>
        <w:rPr>
          <w:rFonts w:ascii="仿宋" w:hAnsi="仿宋" w:eastAsia="仿宋"/>
          <w:kern w:val="0"/>
          <w:sz w:val="30"/>
          <w:szCs w:val="30"/>
        </w:rPr>
      </w:pPr>
      <w:r>
        <w:rPr>
          <w:rFonts w:hint="eastAsia" w:ascii="仿宋" w:hAnsi="仿宋" w:eastAsia="仿宋"/>
          <w:kern w:val="0"/>
          <w:sz w:val="30"/>
          <w:szCs w:val="30"/>
          <w:lang w:val="en-US" w:eastAsia="zh-CN"/>
        </w:rPr>
        <w:t>陕西省</w:t>
      </w:r>
      <w:r>
        <w:rPr>
          <w:rFonts w:hint="eastAsia" w:ascii="仿宋" w:hAnsi="仿宋" w:eastAsia="仿宋"/>
          <w:kern w:val="0"/>
          <w:sz w:val="30"/>
          <w:szCs w:val="30"/>
        </w:rPr>
        <w:t>融资担保业协会：</w:t>
      </w:r>
    </w:p>
    <w:p w14:paraId="45E3B254">
      <w:pPr>
        <w:widowControl/>
        <w:shd w:val="clear" w:color="auto" w:fill="FFFFFF"/>
        <w:spacing w:after="156" w:afterLines="50"/>
        <w:ind w:firstLine="600" w:firstLineChars="200"/>
        <w:jc w:val="left"/>
        <w:rPr>
          <w:rFonts w:ascii="仿宋" w:hAnsi="仿宋" w:eastAsia="仿宋" w:cs="Lucida Sans Unicode"/>
          <w:sz w:val="30"/>
          <w:szCs w:val="30"/>
          <w:shd w:val="clear" w:color="auto" w:fill="FFFFFF"/>
        </w:rPr>
      </w:pPr>
      <w:r>
        <w:rPr>
          <w:rFonts w:hint="eastAsia" w:ascii="仿宋" w:hAnsi="仿宋" w:eastAsia="仿宋" w:cs="Lucida Sans Unicode"/>
          <w:sz w:val="30"/>
          <w:szCs w:val="30"/>
          <w:shd w:val="clear" w:color="auto" w:fill="FFFFFF"/>
          <w:lang w:val="en-US" w:eastAsia="zh-CN"/>
        </w:rPr>
        <w:t>___________</w:t>
      </w:r>
      <w:r>
        <w:rPr>
          <w:rFonts w:hint="eastAsia" w:ascii="仿宋" w:hAnsi="仿宋" w:eastAsia="仿宋" w:cs="Lucida Sans Unicode"/>
          <w:sz w:val="30"/>
          <w:szCs w:val="30"/>
          <w:shd w:val="clear" w:color="auto" w:fill="FFFFFF"/>
        </w:rPr>
        <w:t>符合</w:t>
      </w:r>
      <w:r>
        <w:rPr>
          <w:rFonts w:hint="eastAsia" w:ascii="仿宋" w:hAnsi="仿宋" w:eastAsia="仿宋" w:cs="Lucida Sans Unicode"/>
          <w:sz w:val="30"/>
          <w:szCs w:val="30"/>
          <w:shd w:val="clear" w:color="auto" w:fill="FFFFFF"/>
          <w:lang w:val="en-US" w:eastAsia="zh-CN"/>
        </w:rPr>
        <w:t>陕西省融资担保业</w:t>
      </w:r>
      <w:r>
        <w:rPr>
          <w:rFonts w:hint="eastAsia" w:ascii="仿宋" w:hAnsi="仿宋" w:eastAsia="仿宋" w:cs="Lucida Sans Unicode"/>
          <w:sz w:val="30"/>
          <w:szCs w:val="30"/>
          <w:shd w:val="clear" w:color="auto" w:fill="FFFFFF"/>
        </w:rPr>
        <w:t>协会章程规定的入会条件，并已完全知悉和接受协会章程内容，自愿向协会申请成为</w:t>
      </w:r>
      <w:r>
        <w:rPr>
          <w:rFonts w:hint="eastAsia" w:ascii="仿宋" w:hAnsi="仿宋" w:eastAsia="仿宋" w:cs="Lucida Sans Unicode"/>
          <w:sz w:val="30"/>
          <w:szCs w:val="30"/>
          <w:shd w:val="clear" w:color="auto" w:fill="FFFFFF"/>
          <w:lang w:val="en-US" w:eastAsia="zh-CN"/>
        </w:rPr>
        <w:t>陕西省</w:t>
      </w:r>
      <w:r>
        <w:rPr>
          <w:rFonts w:hint="eastAsia" w:ascii="仿宋" w:hAnsi="仿宋" w:eastAsia="仿宋" w:cs="Lucida Sans Unicode"/>
          <w:sz w:val="30"/>
          <w:szCs w:val="30"/>
          <w:shd w:val="clear" w:color="auto" w:fill="FFFFFF"/>
        </w:rPr>
        <w:t>融资担保业协会</w:t>
      </w:r>
      <w:r>
        <w:rPr>
          <w:rFonts w:hint="eastAsia" w:ascii="仿宋" w:hAnsi="仿宋" w:eastAsia="仿宋" w:cs="Lucida Sans Unicode"/>
          <w:sz w:val="30"/>
          <w:szCs w:val="30"/>
          <w:shd w:val="clear" w:color="auto" w:fill="FFFFFF"/>
          <w:lang w:val="en-US" w:eastAsia="zh-CN"/>
        </w:rPr>
        <w:t>______（会员/理事/监事）</w:t>
      </w:r>
      <w:r>
        <w:rPr>
          <w:rFonts w:hint="eastAsia" w:ascii="仿宋" w:hAnsi="仿宋" w:eastAsia="仿宋" w:cs="Lucida Sans Unicode"/>
          <w:sz w:val="30"/>
          <w:szCs w:val="30"/>
          <w:shd w:val="clear" w:color="auto" w:fill="FFFFFF"/>
        </w:rPr>
        <w:t>单位。</w:t>
      </w:r>
    </w:p>
    <w:p w14:paraId="75B4F2F9">
      <w:pPr>
        <w:widowControl/>
        <w:shd w:val="clear" w:color="auto" w:fill="FFFFFF"/>
        <w:spacing w:after="156" w:afterLines="50"/>
        <w:ind w:firstLine="600" w:firstLineChars="200"/>
        <w:jc w:val="left"/>
        <w:rPr>
          <w:rFonts w:ascii="仿宋" w:hAnsi="仿宋" w:eastAsia="仿宋" w:cs="Lucida Sans Unicode"/>
          <w:sz w:val="30"/>
          <w:szCs w:val="30"/>
          <w:shd w:val="clear" w:color="auto" w:fill="FFFFFF"/>
        </w:rPr>
      </w:pPr>
      <w:r>
        <w:rPr>
          <w:rFonts w:hint="eastAsia" w:ascii="仿宋" w:hAnsi="仿宋" w:eastAsia="仿宋" w:cs="Lucida Sans Unicode"/>
          <w:sz w:val="30"/>
          <w:szCs w:val="30"/>
          <w:shd w:val="clear" w:color="auto" w:fill="FFFFFF"/>
          <w:lang w:val="en-US" w:eastAsia="zh-CN"/>
        </w:rPr>
        <w:t>本单位</w:t>
      </w:r>
      <w:r>
        <w:rPr>
          <w:rFonts w:hint="eastAsia" w:ascii="仿宋" w:hAnsi="仿宋" w:eastAsia="仿宋" w:cs="Lucida Sans Unicode"/>
          <w:sz w:val="30"/>
          <w:szCs w:val="30"/>
          <w:shd w:val="clear" w:color="auto" w:fill="FFFFFF"/>
        </w:rPr>
        <w:t>承诺自协会批准本单位成为单位之日起，遵守协会的章程、融资担保行业自律公约等自律制度和协会出台的有关规范等的规定，</w:t>
      </w:r>
      <w:r>
        <w:rPr>
          <w:rFonts w:hint="eastAsia" w:ascii="仿宋" w:hAnsi="仿宋" w:eastAsia="仿宋" w:cs="宋体"/>
          <w:kern w:val="0"/>
          <w:sz w:val="30"/>
          <w:szCs w:val="30"/>
        </w:rPr>
        <w:t>履行会员的义务，</w:t>
      </w:r>
      <w:r>
        <w:rPr>
          <w:rFonts w:ascii="仿宋" w:hAnsi="仿宋" w:eastAsia="仿宋" w:cs="Lucida Sans Unicode"/>
          <w:sz w:val="30"/>
          <w:szCs w:val="30"/>
          <w:shd w:val="clear" w:color="auto" w:fill="FFFFFF"/>
        </w:rPr>
        <w:t>按规定交纳会费</w:t>
      </w:r>
      <w:r>
        <w:rPr>
          <w:rFonts w:hint="eastAsia" w:ascii="仿宋" w:hAnsi="仿宋" w:eastAsia="仿宋" w:cs="宋体"/>
          <w:kern w:val="0"/>
          <w:sz w:val="30"/>
          <w:szCs w:val="30"/>
        </w:rPr>
        <w:t>，执行协会的决议，</w:t>
      </w:r>
      <w:r>
        <w:rPr>
          <w:rFonts w:ascii="仿宋" w:hAnsi="仿宋" w:eastAsia="仿宋" w:cs="Lucida Sans Unicode"/>
          <w:sz w:val="30"/>
          <w:szCs w:val="30"/>
          <w:shd w:val="clear" w:color="auto" w:fill="FFFFFF"/>
        </w:rPr>
        <w:t>接受</w:t>
      </w:r>
      <w:r>
        <w:rPr>
          <w:rFonts w:hint="eastAsia" w:ascii="仿宋" w:hAnsi="仿宋" w:eastAsia="仿宋" w:cs="Lucida Sans Unicode"/>
          <w:sz w:val="30"/>
          <w:szCs w:val="30"/>
          <w:shd w:val="clear" w:color="auto" w:fill="FFFFFF"/>
        </w:rPr>
        <w:t>协会</w:t>
      </w:r>
      <w:r>
        <w:rPr>
          <w:rFonts w:ascii="仿宋" w:hAnsi="仿宋" w:eastAsia="仿宋" w:cs="Lucida Sans Unicode"/>
          <w:sz w:val="30"/>
          <w:szCs w:val="30"/>
          <w:shd w:val="clear" w:color="auto" w:fill="FFFFFF"/>
        </w:rPr>
        <w:t>的</w:t>
      </w:r>
      <w:r>
        <w:rPr>
          <w:rFonts w:hint="eastAsia" w:ascii="仿宋" w:hAnsi="仿宋" w:eastAsia="仿宋" w:cs="Lucida Sans Unicode"/>
          <w:sz w:val="30"/>
          <w:szCs w:val="30"/>
          <w:shd w:val="clear" w:color="auto" w:fill="FFFFFF"/>
        </w:rPr>
        <w:t>业务</w:t>
      </w:r>
      <w:r>
        <w:rPr>
          <w:rFonts w:ascii="仿宋" w:hAnsi="仿宋" w:eastAsia="仿宋" w:cs="Lucida Sans Unicode"/>
          <w:sz w:val="30"/>
          <w:szCs w:val="30"/>
          <w:shd w:val="clear" w:color="auto" w:fill="FFFFFF"/>
        </w:rPr>
        <w:t>指导</w:t>
      </w:r>
      <w:r>
        <w:rPr>
          <w:rFonts w:hint="eastAsia" w:ascii="仿宋" w:hAnsi="仿宋" w:eastAsia="仿宋" w:cs="Lucida Sans Unicode"/>
          <w:sz w:val="30"/>
          <w:szCs w:val="30"/>
          <w:shd w:val="clear" w:color="auto" w:fill="FFFFFF"/>
        </w:rPr>
        <w:t>、业务协调与</w:t>
      </w:r>
      <w:r>
        <w:rPr>
          <w:rFonts w:ascii="仿宋" w:hAnsi="仿宋" w:eastAsia="仿宋" w:cs="Lucida Sans Unicode"/>
          <w:sz w:val="30"/>
          <w:szCs w:val="30"/>
          <w:shd w:val="clear" w:color="auto" w:fill="FFFFFF"/>
        </w:rPr>
        <w:t>监督</w:t>
      </w:r>
      <w:r>
        <w:rPr>
          <w:rFonts w:hint="eastAsia" w:ascii="仿宋" w:hAnsi="仿宋" w:eastAsia="仿宋" w:cs="Lucida Sans Unicode"/>
          <w:sz w:val="30"/>
          <w:szCs w:val="30"/>
          <w:shd w:val="clear" w:color="auto" w:fill="FFFFFF"/>
        </w:rPr>
        <w:t>等，</w:t>
      </w:r>
      <w:r>
        <w:rPr>
          <w:rFonts w:ascii="仿宋" w:hAnsi="仿宋" w:eastAsia="仿宋" w:cs="Lucida Sans Unicode"/>
          <w:sz w:val="30"/>
          <w:szCs w:val="30"/>
          <w:shd w:val="clear" w:color="auto" w:fill="FFFFFF"/>
        </w:rPr>
        <w:t>严守</w:t>
      </w:r>
      <w:r>
        <w:rPr>
          <w:rFonts w:hint="eastAsia" w:ascii="仿宋" w:hAnsi="仿宋" w:eastAsia="仿宋" w:cs="Lucida Sans Unicode"/>
          <w:sz w:val="30"/>
          <w:szCs w:val="30"/>
          <w:shd w:val="clear" w:color="auto" w:fill="FFFFFF"/>
        </w:rPr>
        <w:t>协会</w:t>
      </w:r>
      <w:r>
        <w:rPr>
          <w:rFonts w:ascii="仿宋" w:hAnsi="仿宋" w:eastAsia="仿宋" w:cs="Lucida Sans Unicode"/>
          <w:sz w:val="30"/>
          <w:szCs w:val="30"/>
          <w:shd w:val="clear" w:color="auto" w:fill="FFFFFF"/>
        </w:rPr>
        <w:t>纪律</w:t>
      </w:r>
      <w:r>
        <w:rPr>
          <w:rFonts w:hint="eastAsia" w:ascii="仿宋" w:hAnsi="仿宋" w:eastAsia="仿宋" w:cs="Lucida Sans Unicode"/>
          <w:sz w:val="30"/>
          <w:szCs w:val="30"/>
          <w:shd w:val="clear" w:color="auto" w:fill="FFFFFF"/>
        </w:rPr>
        <w:t>，</w:t>
      </w:r>
      <w:r>
        <w:rPr>
          <w:rFonts w:ascii="仿宋" w:hAnsi="仿宋" w:eastAsia="仿宋" w:cs="Lucida Sans Unicode"/>
          <w:sz w:val="30"/>
          <w:szCs w:val="30"/>
          <w:shd w:val="clear" w:color="auto" w:fill="FFFFFF"/>
        </w:rPr>
        <w:t>积极参加</w:t>
      </w:r>
      <w:r>
        <w:rPr>
          <w:rFonts w:hint="eastAsia" w:ascii="仿宋" w:hAnsi="仿宋" w:eastAsia="仿宋" w:cs="Lucida Sans Unicode"/>
          <w:sz w:val="30"/>
          <w:szCs w:val="30"/>
          <w:shd w:val="clear" w:color="auto" w:fill="FFFFFF"/>
        </w:rPr>
        <w:t>协会组织的</w:t>
      </w:r>
      <w:r>
        <w:rPr>
          <w:rFonts w:ascii="仿宋" w:hAnsi="仿宋" w:eastAsia="仿宋" w:cs="Lucida Sans Unicode"/>
          <w:sz w:val="30"/>
          <w:szCs w:val="30"/>
          <w:shd w:val="clear" w:color="auto" w:fill="FFFFFF"/>
        </w:rPr>
        <w:t>各项活动</w:t>
      </w:r>
      <w:r>
        <w:rPr>
          <w:rFonts w:hint="eastAsia" w:ascii="仿宋" w:hAnsi="仿宋" w:eastAsia="仿宋" w:cs="Lucida Sans Unicode"/>
          <w:sz w:val="30"/>
          <w:szCs w:val="30"/>
          <w:shd w:val="clear" w:color="auto" w:fill="FFFFFF"/>
        </w:rPr>
        <w:t>。本单位如未履行会员义务或未履行前述约定的义务或未执行有关规定的，则协会有权按照有关规定对本单位进行处理。</w:t>
      </w:r>
    </w:p>
    <w:p w14:paraId="212170D3">
      <w:pPr>
        <w:shd w:val="clear" w:color="auto" w:fill="FFFFFF"/>
        <w:spacing w:after="156" w:afterLines="50"/>
        <w:ind w:right="810"/>
        <w:jc w:val="right"/>
        <w:rPr>
          <w:rFonts w:hint="eastAsia" w:ascii="仿宋" w:hAnsi="仿宋" w:eastAsia="仿宋" w:cs="Lucida Sans Unicode"/>
          <w:sz w:val="30"/>
          <w:szCs w:val="30"/>
          <w:shd w:val="clear" w:color="auto" w:fill="FFFFFF"/>
        </w:rPr>
      </w:pPr>
    </w:p>
    <w:p w14:paraId="0C7BBD6A">
      <w:pPr>
        <w:shd w:val="clear" w:color="auto" w:fill="FFFFFF"/>
        <w:spacing w:after="156" w:afterLines="50"/>
        <w:ind w:right="810"/>
        <w:jc w:val="right"/>
        <w:rPr>
          <w:rFonts w:hint="eastAsia" w:ascii="仿宋" w:hAnsi="仿宋" w:eastAsia="仿宋" w:cs="Lucida Sans Unicode"/>
          <w:sz w:val="30"/>
          <w:szCs w:val="30"/>
          <w:shd w:val="clear" w:color="auto" w:fill="FFFFFF"/>
        </w:rPr>
      </w:pPr>
    </w:p>
    <w:p w14:paraId="65ED85C0">
      <w:pPr>
        <w:shd w:val="clear" w:color="auto" w:fill="FFFFFF"/>
        <w:spacing w:after="156" w:afterLines="50"/>
        <w:ind w:right="810"/>
        <w:jc w:val="right"/>
        <w:rPr>
          <w:rFonts w:hint="eastAsia" w:ascii="仿宋" w:hAnsi="仿宋" w:eastAsia="仿宋" w:cs="Lucida Sans Unicode"/>
          <w:sz w:val="30"/>
          <w:szCs w:val="30"/>
          <w:shd w:val="clear" w:color="auto" w:fill="FFFFFF"/>
        </w:rPr>
      </w:pPr>
    </w:p>
    <w:p w14:paraId="299B92BD">
      <w:pPr>
        <w:shd w:val="clear" w:color="auto" w:fill="FFFFFF"/>
        <w:spacing w:after="156" w:afterLines="50"/>
        <w:jc w:val="right"/>
        <w:rPr>
          <w:rFonts w:hint="eastAsia" w:ascii="仿宋" w:hAnsi="仿宋" w:eastAsia="仿宋"/>
          <w:color w:val="000000"/>
          <w:kern w:val="0"/>
          <w:sz w:val="30"/>
          <w:szCs w:val="30"/>
        </w:rPr>
      </w:pPr>
      <w:r>
        <w:rPr>
          <w:rFonts w:hint="eastAsia" w:ascii="仿宋" w:hAnsi="仿宋" w:eastAsia="仿宋" w:cs="Lucida Sans Unicode"/>
          <w:sz w:val="30"/>
          <w:szCs w:val="30"/>
          <w:shd w:val="clear" w:color="auto" w:fill="FFFFFF"/>
          <w:lang w:val="en-US" w:eastAsia="zh-CN"/>
        </w:rPr>
        <w:t>________________(公章）</w:t>
      </w:r>
      <w:r>
        <w:rPr>
          <w:rFonts w:hint="eastAsia" w:ascii="仿宋" w:hAnsi="仿宋" w:eastAsia="仿宋"/>
          <w:color w:val="000000"/>
          <w:kern w:val="0"/>
          <w:sz w:val="30"/>
          <w:szCs w:val="30"/>
        </w:rPr>
        <w:t xml:space="preserve"> </w:t>
      </w:r>
    </w:p>
    <w:p w14:paraId="1BF37C30">
      <w:pPr>
        <w:shd w:val="clear" w:color="auto" w:fill="FFFFFF"/>
        <w:spacing w:after="156" w:afterLines="50"/>
        <w:jc w:val="right"/>
        <w:rPr>
          <w:rFonts w:ascii="仿宋" w:hAnsi="仿宋" w:eastAsia="仿宋"/>
          <w:sz w:val="30"/>
          <w:szCs w:val="30"/>
        </w:rPr>
      </w:pPr>
      <w:r>
        <w:rPr>
          <w:rFonts w:hint="eastAsia" w:ascii="仿宋" w:hAnsi="仿宋" w:eastAsia="仿宋"/>
          <w:color w:val="000000"/>
          <w:kern w:val="0"/>
          <w:sz w:val="30"/>
          <w:szCs w:val="30"/>
        </w:rPr>
        <w:t xml:space="preserve">           </w:t>
      </w:r>
      <w:r>
        <w:rPr>
          <w:rFonts w:hint="eastAsia" w:ascii="仿宋" w:hAnsi="仿宋" w:eastAsia="仿宋"/>
          <w:color w:val="000000"/>
          <w:kern w:val="0"/>
          <w:sz w:val="30"/>
          <w:szCs w:val="30"/>
          <w:lang w:val="en-US" w:eastAsia="zh-CN"/>
        </w:rPr>
        <w:t>____</w:t>
      </w:r>
      <w:r>
        <w:rPr>
          <w:rFonts w:hint="eastAsia" w:ascii="仿宋" w:hAnsi="仿宋" w:eastAsia="仿宋"/>
          <w:color w:val="000000"/>
          <w:kern w:val="0"/>
          <w:sz w:val="30"/>
          <w:szCs w:val="30"/>
        </w:rPr>
        <w:t>年</w:t>
      </w:r>
      <w:r>
        <w:rPr>
          <w:rFonts w:hint="eastAsia" w:ascii="仿宋" w:hAnsi="仿宋" w:eastAsia="仿宋"/>
          <w:color w:val="000000"/>
          <w:kern w:val="0"/>
          <w:sz w:val="30"/>
          <w:szCs w:val="30"/>
          <w:lang w:val="en-US" w:eastAsia="zh-CN"/>
        </w:rPr>
        <w:t>__</w:t>
      </w:r>
      <w:r>
        <w:rPr>
          <w:rFonts w:hint="eastAsia" w:ascii="仿宋" w:hAnsi="仿宋" w:eastAsia="仿宋"/>
          <w:color w:val="000000"/>
          <w:kern w:val="0"/>
          <w:sz w:val="30"/>
          <w:szCs w:val="30"/>
        </w:rPr>
        <w:t xml:space="preserve"> 月</w:t>
      </w:r>
      <w:r>
        <w:rPr>
          <w:rFonts w:hint="eastAsia" w:ascii="仿宋" w:hAnsi="仿宋" w:eastAsia="仿宋"/>
          <w:color w:val="000000"/>
          <w:kern w:val="0"/>
          <w:sz w:val="30"/>
          <w:szCs w:val="30"/>
          <w:lang w:val="en-US" w:eastAsia="zh-CN"/>
        </w:rPr>
        <w:t>___</w:t>
      </w:r>
      <w:r>
        <w:rPr>
          <w:rFonts w:hint="eastAsia" w:ascii="仿宋" w:hAnsi="仿宋" w:eastAsia="仿宋"/>
          <w:color w:val="000000"/>
          <w:kern w:val="0"/>
          <w:sz w:val="30"/>
          <w:szCs w:val="30"/>
        </w:rPr>
        <w:t>日</w:t>
      </w:r>
    </w:p>
    <w:p w14:paraId="50E34289">
      <w:pPr>
        <w:jc w:val="left"/>
        <w:rPr>
          <w:rFonts w:hint="eastAsia" w:ascii="仿宋" w:hAnsi="仿宋" w:eastAsia="仿宋" w:cs="Arial"/>
          <w:color w:val="000000"/>
          <w:kern w:val="36"/>
          <w:sz w:val="28"/>
          <w:szCs w:val="28"/>
          <w:lang w:val="en-US" w:eastAsia="zh-CN"/>
        </w:rPr>
      </w:pPr>
    </w:p>
    <w:p w14:paraId="592BF72E">
      <w:pPr>
        <w:jc w:val="left"/>
        <w:rPr>
          <w:rFonts w:hint="default" w:ascii="仿宋" w:hAnsi="仿宋" w:eastAsia="仿宋" w:cs="Arial"/>
          <w:color w:val="000000"/>
          <w:kern w:val="36"/>
          <w:sz w:val="28"/>
          <w:szCs w:val="28"/>
          <w:lang w:val="en-US" w:eastAsia="zh-CN"/>
        </w:rPr>
      </w:pPr>
      <w:r>
        <w:rPr>
          <w:rFonts w:hint="eastAsia" w:ascii="仿宋" w:hAnsi="仿宋" w:eastAsia="仿宋" w:cs="Arial"/>
          <w:color w:val="000000"/>
          <w:kern w:val="36"/>
          <w:sz w:val="28"/>
          <w:szCs w:val="28"/>
          <w:lang w:val="en-US" w:eastAsia="zh-CN"/>
        </w:rPr>
        <w:t>附件二：</w:t>
      </w:r>
    </w:p>
    <w:p w14:paraId="1C75C27F">
      <w:pPr>
        <w:jc w:val="center"/>
        <w:rPr>
          <w:rFonts w:hint="eastAsia" w:ascii="黑体" w:hAnsi="黑体" w:eastAsia="黑体" w:cs="Arial"/>
          <w:color w:val="000000"/>
          <w:kern w:val="36"/>
          <w:sz w:val="44"/>
          <w:szCs w:val="36"/>
          <w:lang w:val="en-US" w:eastAsia="zh-CN"/>
        </w:rPr>
      </w:pPr>
    </w:p>
    <w:p w14:paraId="7E2A794A">
      <w:pPr>
        <w:jc w:val="center"/>
        <w:rPr>
          <w:rFonts w:ascii="黑体" w:hAnsi="黑体" w:eastAsia="黑体" w:cs="Arial"/>
          <w:color w:val="000000"/>
          <w:kern w:val="36"/>
          <w:sz w:val="44"/>
          <w:szCs w:val="36"/>
        </w:rPr>
      </w:pPr>
      <w:r>
        <w:rPr>
          <w:rFonts w:hint="eastAsia" w:ascii="黑体" w:hAnsi="黑体" w:eastAsia="黑体" w:cs="Arial"/>
          <w:color w:val="000000"/>
          <w:kern w:val="36"/>
          <w:sz w:val="44"/>
          <w:szCs w:val="36"/>
          <w:lang w:val="en-US" w:eastAsia="zh-CN"/>
        </w:rPr>
        <w:t>陕西省</w:t>
      </w:r>
      <w:r>
        <w:rPr>
          <w:rFonts w:hint="eastAsia" w:ascii="黑体" w:hAnsi="黑体" w:eastAsia="黑体" w:cs="Arial"/>
          <w:color w:val="000000"/>
          <w:kern w:val="36"/>
          <w:sz w:val="44"/>
          <w:szCs w:val="36"/>
        </w:rPr>
        <w:t>融资担保业协会会员信息登记表</w:t>
      </w:r>
    </w:p>
    <w:tbl>
      <w:tblPr>
        <w:tblStyle w:val="4"/>
        <w:tblW w:w="10257" w:type="dxa"/>
        <w:jc w:val="center"/>
        <w:tblLayout w:type="fixed"/>
        <w:tblCellMar>
          <w:top w:w="0" w:type="dxa"/>
          <w:left w:w="108" w:type="dxa"/>
          <w:bottom w:w="0" w:type="dxa"/>
          <w:right w:w="108" w:type="dxa"/>
        </w:tblCellMar>
      </w:tblPr>
      <w:tblGrid>
        <w:gridCol w:w="1316"/>
        <w:gridCol w:w="1003"/>
        <w:gridCol w:w="1417"/>
        <w:gridCol w:w="1689"/>
        <w:gridCol w:w="1452"/>
        <w:gridCol w:w="855"/>
        <w:gridCol w:w="1035"/>
        <w:gridCol w:w="1490"/>
      </w:tblGrid>
      <w:tr w14:paraId="1F6BFF60">
        <w:trPr>
          <w:trHeight w:val="520"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11C6013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8941" w:type="dxa"/>
            <w:gridSpan w:val="7"/>
            <w:tcBorders>
              <w:top w:val="single" w:color="auto" w:sz="4" w:space="0"/>
              <w:left w:val="nil"/>
              <w:bottom w:val="single" w:color="auto" w:sz="4" w:space="0"/>
              <w:right w:val="single" w:color="000000" w:sz="4" w:space="0"/>
            </w:tcBorders>
            <w:vAlign w:val="center"/>
          </w:tcPr>
          <w:p w14:paraId="2390CFD7">
            <w:pPr>
              <w:widowControl/>
              <w:jc w:val="center"/>
              <w:rPr>
                <w:rFonts w:hint="default" w:ascii="仿宋" w:hAnsi="仿宋" w:eastAsia="仿宋" w:cs="宋体"/>
                <w:color w:val="000000"/>
                <w:kern w:val="0"/>
                <w:sz w:val="24"/>
                <w:szCs w:val="24"/>
                <w:lang w:val="en-US" w:eastAsia="zh-CN"/>
              </w:rPr>
            </w:pPr>
          </w:p>
        </w:tc>
      </w:tr>
      <w:tr w14:paraId="631A5EA2">
        <w:tblPrEx>
          <w:tblCellMar>
            <w:top w:w="0" w:type="dxa"/>
            <w:left w:w="108" w:type="dxa"/>
            <w:bottom w:w="0" w:type="dxa"/>
            <w:right w:w="108" w:type="dxa"/>
          </w:tblCellMar>
        </w:tblPrEx>
        <w:trPr>
          <w:trHeight w:val="458" w:hRule="atLeast"/>
          <w:jc w:val="center"/>
        </w:trPr>
        <w:tc>
          <w:tcPr>
            <w:tcW w:w="1316" w:type="dxa"/>
            <w:tcBorders>
              <w:top w:val="nil"/>
              <w:left w:val="single" w:color="auto" w:sz="4" w:space="0"/>
              <w:bottom w:val="single" w:color="auto" w:sz="4" w:space="0"/>
              <w:right w:val="single" w:color="auto" w:sz="4" w:space="0"/>
            </w:tcBorders>
            <w:shd w:val="clear" w:color="auto" w:fill="auto"/>
            <w:noWrap/>
            <w:vAlign w:val="center"/>
          </w:tcPr>
          <w:p w14:paraId="2D8E6E6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地址   </w:t>
            </w:r>
          </w:p>
        </w:tc>
        <w:tc>
          <w:tcPr>
            <w:tcW w:w="8941" w:type="dxa"/>
            <w:gridSpan w:val="7"/>
            <w:tcBorders>
              <w:top w:val="single" w:color="auto" w:sz="4" w:space="0"/>
              <w:left w:val="nil"/>
              <w:bottom w:val="single" w:color="auto" w:sz="4" w:space="0"/>
              <w:right w:val="single" w:color="000000" w:sz="4" w:space="0"/>
            </w:tcBorders>
            <w:vAlign w:val="center"/>
          </w:tcPr>
          <w:p w14:paraId="0FA8A7B7">
            <w:pPr>
              <w:widowControl/>
              <w:jc w:val="center"/>
              <w:rPr>
                <w:rFonts w:hint="default" w:ascii="仿宋" w:hAnsi="仿宋" w:eastAsia="仿宋" w:cs="宋体"/>
                <w:color w:val="000000"/>
                <w:kern w:val="0"/>
                <w:sz w:val="24"/>
                <w:szCs w:val="24"/>
                <w:lang w:val="en-US" w:eastAsia="zh-CN"/>
              </w:rPr>
            </w:pPr>
          </w:p>
        </w:tc>
      </w:tr>
      <w:tr w14:paraId="75A53047">
        <w:tblPrEx>
          <w:tblCellMar>
            <w:top w:w="0" w:type="dxa"/>
            <w:left w:w="108" w:type="dxa"/>
            <w:bottom w:w="0" w:type="dxa"/>
            <w:right w:w="108" w:type="dxa"/>
          </w:tblCellMar>
        </w:tblPrEx>
        <w:trPr>
          <w:trHeight w:val="538" w:hRule="atLeast"/>
          <w:jc w:val="center"/>
        </w:trPr>
        <w:tc>
          <w:tcPr>
            <w:tcW w:w="1316" w:type="dxa"/>
            <w:vMerge w:val="restart"/>
            <w:tcBorders>
              <w:top w:val="nil"/>
              <w:left w:val="single" w:color="auto" w:sz="4" w:space="0"/>
              <w:bottom w:val="single" w:color="000000" w:sz="4" w:space="0"/>
              <w:right w:val="single" w:color="auto" w:sz="4" w:space="0"/>
            </w:tcBorders>
            <w:shd w:val="clear" w:color="auto" w:fill="auto"/>
            <w:vAlign w:val="center"/>
          </w:tcPr>
          <w:p w14:paraId="4B41F05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法人信息(必填)</w:t>
            </w:r>
          </w:p>
        </w:tc>
        <w:tc>
          <w:tcPr>
            <w:tcW w:w="2420" w:type="dxa"/>
            <w:gridSpan w:val="2"/>
            <w:tcBorders>
              <w:top w:val="single" w:color="auto" w:sz="4" w:space="0"/>
              <w:left w:val="nil"/>
              <w:bottom w:val="single" w:color="auto" w:sz="4" w:space="0"/>
              <w:right w:val="single" w:color="auto" w:sz="4" w:space="0"/>
            </w:tcBorders>
            <w:vAlign w:val="center"/>
          </w:tcPr>
          <w:p w14:paraId="2AB669B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1689" w:type="dxa"/>
            <w:tcBorders>
              <w:top w:val="single" w:color="auto" w:sz="4" w:space="0"/>
              <w:left w:val="nil"/>
              <w:bottom w:val="single" w:color="auto" w:sz="4" w:space="0"/>
              <w:right w:val="single" w:color="000000" w:sz="4" w:space="0"/>
            </w:tcBorders>
            <w:shd w:val="clear" w:color="auto" w:fill="auto"/>
            <w:noWrap/>
            <w:vAlign w:val="center"/>
          </w:tcPr>
          <w:p w14:paraId="08367677">
            <w:pPr>
              <w:widowControl/>
              <w:jc w:val="center"/>
              <w:rPr>
                <w:rFonts w:hint="eastAsia" w:ascii="仿宋" w:hAnsi="仿宋" w:eastAsia="仿宋" w:cs="宋体"/>
                <w:color w:val="000000"/>
                <w:kern w:val="0"/>
                <w:sz w:val="24"/>
                <w:szCs w:val="24"/>
                <w:lang w:val="en-US" w:eastAsia="zh-CN"/>
              </w:rPr>
            </w:pPr>
          </w:p>
        </w:tc>
        <w:tc>
          <w:tcPr>
            <w:tcW w:w="1452" w:type="dxa"/>
            <w:tcBorders>
              <w:top w:val="nil"/>
              <w:left w:val="nil"/>
              <w:bottom w:val="single" w:color="auto" w:sz="4" w:space="0"/>
              <w:right w:val="single" w:color="auto" w:sz="4" w:space="0"/>
            </w:tcBorders>
            <w:shd w:val="clear" w:color="auto" w:fill="auto"/>
            <w:noWrap/>
            <w:vAlign w:val="center"/>
          </w:tcPr>
          <w:p w14:paraId="2F88EC5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出生年月</w:t>
            </w:r>
          </w:p>
        </w:tc>
        <w:tc>
          <w:tcPr>
            <w:tcW w:w="3380" w:type="dxa"/>
            <w:gridSpan w:val="3"/>
            <w:tcBorders>
              <w:top w:val="single" w:color="auto" w:sz="4" w:space="0"/>
              <w:left w:val="nil"/>
              <w:bottom w:val="single" w:color="auto" w:sz="4" w:space="0"/>
              <w:right w:val="single" w:color="000000" w:sz="4" w:space="0"/>
            </w:tcBorders>
            <w:shd w:val="clear" w:color="auto" w:fill="auto"/>
            <w:noWrap/>
            <w:vAlign w:val="center"/>
          </w:tcPr>
          <w:p w14:paraId="7DC746AB">
            <w:pPr>
              <w:widowControl/>
              <w:jc w:val="center"/>
              <w:rPr>
                <w:rFonts w:hint="default" w:ascii="仿宋" w:hAnsi="仿宋" w:eastAsia="仿宋" w:cs="宋体"/>
                <w:color w:val="000000"/>
                <w:kern w:val="0"/>
                <w:sz w:val="24"/>
                <w:szCs w:val="24"/>
                <w:lang w:val="en-US" w:eastAsia="zh-CN"/>
              </w:rPr>
            </w:pPr>
          </w:p>
        </w:tc>
      </w:tr>
      <w:tr w14:paraId="492C451E">
        <w:tblPrEx>
          <w:tblCellMar>
            <w:top w:w="0" w:type="dxa"/>
            <w:left w:w="108" w:type="dxa"/>
            <w:bottom w:w="0" w:type="dxa"/>
            <w:right w:w="108" w:type="dxa"/>
          </w:tblCellMar>
        </w:tblPrEx>
        <w:trPr>
          <w:trHeight w:val="546" w:hRule="atLeast"/>
          <w:jc w:val="center"/>
        </w:trPr>
        <w:tc>
          <w:tcPr>
            <w:tcW w:w="1316" w:type="dxa"/>
            <w:vMerge w:val="continue"/>
            <w:tcBorders>
              <w:top w:val="nil"/>
              <w:left w:val="single" w:color="auto" w:sz="4" w:space="0"/>
              <w:bottom w:val="single" w:color="000000" w:sz="4" w:space="0"/>
              <w:right w:val="single" w:color="auto" w:sz="4" w:space="0"/>
            </w:tcBorders>
            <w:vAlign w:val="center"/>
          </w:tcPr>
          <w:p w14:paraId="2DD7C122">
            <w:pPr>
              <w:widowControl/>
              <w:jc w:val="center"/>
              <w:rPr>
                <w:rFonts w:ascii="仿宋" w:hAnsi="仿宋" w:eastAsia="仿宋" w:cs="宋体"/>
                <w:color w:val="000000"/>
                <w:kern w:val="0"/>
                <w:sz w:val="24"/>
                <w:szCs w:val="24"/>
              </w:rPr>
            </w:pPr>
          </w:p>
        </w:tc>
        <w:tc>
          <w:tcPr>
            <w:tcW w:w="2420" w:type="dxa"/>
            <w:gridSpan w:val="2"/>
            <w:tcBorders>
              <w:top w:val="single" w:color="auto" w:sz="4" w:space="0"/>
              <w:left w:val="nil"/>
              <w:bottom w:val="single" w:color="auto" w:sz="4" w:space="0"/>
              <w:right w:val="single" w:color="auto" w:sz="4" w:space="0"/>
            </w:tcBorders>
            <w:vAlign w:val="center"/>
          </w:tcPr>
          <w:p w14:paraId="1794CAB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性别</w:t>
            </w:r>
          </w:p>
        </w:tc>
        <w:tc>
          <w:tcPr>
            <w:tcW w:w="1689" w:type="dxa"/>
            <w:tcBorders>
              <w:top w:val="nil"/>
              <w:left w:val="nil"/>
              <w:bottom w:val="single" w:color="auto" w:sz="4" w:space="0"/>
              <w:right w:val="single" w:color="auto" w:sz="4" w:space="0"/>
            </w:tcBorders>
            <w:shd w:val="clear" w:color="auto" w:fill="auto"/>
            <w:noWrap/>
            <w:vAlign w:val="center"/>
          </w:tcPr>
          <w:p w14:paraId="1C7853DC">
            <w:pPr>
              <w:widowControl/>
              <w:jc w:val="center"/>
              <w:rPr>
                <w:rFonts w:hint="eastAsia" w:ascii="仿宋" w:hAnsi="仿宋" w:eastAsia="仿宋" w:cs="宋体"/>
                <w:color w:val="000000"/>
                <w:kern w:val="0"/>
                <w:sz w:val="24"/>
                <w:szCs w:val="24"/>
                <w:lang w:val="en-US" w:eastAsia="zh-CN"/>
              </w:rPr>
            </w:pPr>
          </w:p>
        </w:tc>
        <w:tc>
          <w:tcPr>
            <w:tcW w:w="1452" w:type="dxa"/>
            <w:tcBorders>
              <w:top w:val="nil"/>
              <w:left w:val="nil"/>
              <w:bottom w:val="single" w:color="auto" w:sz="4" w:space="0"/>
              <w:right w:val="single" w:color="auto" w:sz="4" w:space="0"/>
            </w:tcBorders>
            <w:shd w:val="clear" w:color="auto" w:fill="auto"/>
            <w:noWrap/>
            <w:vAlign w:val="center"/>
          </w:tcPr>
          <w:p w14:paraId="4316D88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民族</w:t>
            </w:r>
          </w:p>
        </w:tc>
        <w:tc>
          <w:tcPr>
            <w:tcW w:w="855" w:type="dxa"/>
            <w:tcBorders>
              <w:top w:val="nil"/>
              <w:left w:val="nil"/>
              <w:bottom w:val="single" w:color="auto" w:sz="4" w:space="0"/>
              <w:right w:val="single" w:color="auto" w:sz="4" w:space="0"/>
            </w:tcBorders>
            <w:shd w:val="clear" w:color="auto" w:fill="auto"/>
            <w:noWrap/>
            <w:vAlign w:val="center"/>
          </w:tcPr>
          <w:p w14:paraId="7C097F05">
            <w:pPr>
              <w:widowControl/>
              <w:jc w:val="center"/>
              <w:rPr>
                <w:rFonts w:hint="eastAsia" w:ascii="仿宋" w:hAnsi="仿宋" w:eastAsia="仿宋" w:cs="宋体"/>
                <w:color w:val="000000"/>
                <w:kern w:val="0"/>
                <w:sz w:val="24"/>
                <w:szCs w:val="24"/>
                <w:lang w:val="en-US" w:eastAsia="zh-CN"/>
              </w:rPr>
            </w:pPr>
          </w:p>
        </w:tc>
        <w:tc>
          <w:tcPr>
            <w:tcW w:w="1035" w:type="dxa"/>
            <w:tcBorders>
              <w:top w:val="nil"/>
              <w:left w:val="nil"/>
              <w:bottom w:val="single" w:color="auto" w:sz="4" w:space="0"/>
              <w:right w:val="single" w:color="auto" w:sz="4" w:space="0"/>
            </w:tcBorders>
            <w:shd w:val="clear" w:color="auto" w:fill="auto"/>
            <w:noWrap/>
            <w:vAlign w:val="center"/>
          </w:tcPr>
          <w:p w14:paraId="21FB382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国籍</w:t>
            </w:r>
          </w:p>
        </w:tc>
        <w:tc>
          <w:tcPr>
            <w:tcW w:w="1490" w:type="dxa"/>
            <w:tcBorders>
              <w:top w:val="nil"/>
              <w:left w:val="nil"/>
              <w:bottom w:val="single" w:color="auto" w:sz="4" w:space="0"/>
              <w:right w:val="single" w:color="auto" w:sz="4" w:space="0"/>
            </w:tcBorders>
            <w:shd w:val="clear" w:color="auto" w:fill="auto"/>
            <w:noWrap/>
            <w:vAlign w:val="center"/>
          </w:tcPr>
          <w:p w14:paraId="6EECA06F">
            <w:pPr>
              <w:widowControl/>
              <w:jc w:val="center"/>
              <w:rPr>
                <w:rFonts w:hint="default" w:ascii="仿宋" w:hAnsi="仿宋" w:eastAsia="仿宋" w:cs="宋体"/>
                <w:color w:val="000000"/>
                <w:kern w:val="0"/>
                <w:sz w:val="24"/>
                <w:szCs w:val="24"/>
                <w:lang w:val="en-US" w:eastAsia="zh-CN"/>
              </w:rPr>
            </w:pPr>
          </w:p>
        </w:tc>
      </w:tr>
      <w:tr w14:paraId="7D2BC6F7">
        <w:tblPrEx>
          <w:tblCellMar>
            <w:top w:w="0" w:type="dxa"/>
            <w:left w:w="108" w:type="dxa"/>
            <w:bottom w:w="0" w:type="dxa"/>
            <w:right w:w="108" w:type="dxa"/>
          </w:tblCellMar>
        </w:tblPrEx>
        <w:trPr>
          <w:trHeight w:val="568" w:hRule="atLeast"/>
          <w:jc w:val="center"/>
        </w:trPr>
        <w:tc>
          <w:tcPr>
            <w:tcW w:w="1316" w:type="dxa"/>
            <w:vMerge w:val="continue"/>
            <w:tcBorders>
              <w:top w:val="nil"/>
              <w:left w:val="single" w:color="auto" w:sz="4" w:space="0"/>
              <w:bottom w:val="single" w:color="000000" w:sz="4" w:space="0"/>
              <w:right w:val="single" w:color="auto" w:sz="4" w:space="0"/>
            </w:tcBorders>
            <w:vAlign w:val="center"/>
          </w:tcPr>
          <w:p w14:paraId="05F0C153">
            <w:pPr>
              <w:widowControl/>
              <w:jc w:val="center"/>
              <w:rPr>
                <w:rFonts w:ascii="仿宋" w:hAnsi="仿宋" w:eastAsia="仿宋" w:cs="宋体"/>
                <w:color w:val="000000"/>
                <w:kern w:val="0"/>
                <w:sz w:val="24"/>
                <w:szCs w:val="24"/>
              </w:rPr>
            </w:pPr>
          </w:p>
        </w:tc>
        <w:tc>
          <w:tcPr>
            <w:tcW w:w="2420" w:type="dxa"/>
            <w:gridSpan w:val="2"/>
            <w:tcBorders>
              <w:top w:val="single" w:color="auto" w:sz="4" w:space="0"/>
              <w:left w:val="nil"/>
              <w:bottom w:val="single" w:color="auto" w:sz="4" w:space="0"/>
              <w:right w:val="single" w:color="auto" w:sz="4" w:space="0"/>
            </w:tcBorders>
            <w:vAlign w:val="center"/>
          </w:tcPr>
          <w:p w14:paraId="6087B8F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证件类型</w:t>
            </w:r>
          </w:p>
        </w:tc>
        <w:tc>
          <w:tcPr>
            <w:tcW w:w="1689" w:type="dxa"/>
            <w:tcBorders>
              <w:top w:val="nil"/>
              <w:left w:val="nil"/>
              <w:bottom w:val="single" w:color="auto" w:sz="4" w:space="0"/>
              <w:right w:val="single" w:color="auto" w:sz="4" w:space="0"/>
            </w:tcBorders>
            <w:shd w:val="clear" w:color="auto" w:fill="auto"/>
            <w:noWrap/>
            <w:vAlign w:val="center"/>
          </w:tcPr>
          <w:p w14:paraId="16B92500">
            <w:pPr>
              <w:widowControl/>
              <w:jc w:val="center"/>
              <w:rPr>
                <w:rFonts w:hint="eastAsia" w:ascii="仿宋" w:hAnsi="仿宋" w:eastAsia="仿宋" w:cs="宋体"/>
                <w:color w:val="000000"/>
                <w:kern w:val="0"/>
                <w:sz w:val="24"/>
                <w:szCs w:val="24"/>
                <w:lang w:val="en-US" w:eastAsia="zh-CN"/>
              </w:rPr>
            </w:pPr>
          </w:p>
        </w:tc>
        <w:tc>
          <w:tcPr>
            <w:tcW w:w="1452" w:type="dxa"/>
            <w:tcBorders>
              <w:top w:val="nil"/>
              <w:left w:val="nil"/>
              <w:bottom w:val="single" w:color="auto" w:sz="4" w:space="0"/>
              <w:right w:val="single" w:color="auto" w:sz="4" w:space="0"/>
            </w:tcBorders>
            <w:shd w:val="clear" w:color="auto" w:fill="auto"/>
            <w:noWrap/>
            <w:vAlign w:val="center"/>
          </w:tcPr>
          <w:p w14:paraId="132A655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证件编号</w:t>
            </w:r>
          </w:p>
        </w:tc>
        <w:tc>
          <w:tcPr>
            <w:tcW w:w="3380" w:type="dxa"/>
            <w:gridSpan w:val="3"/>
            <w:tcBorders>
              <w:top w:val="single" w:color="auto" w:sz="4" w:space="0"/>
              <w:left w:val="nil"/>
              <w:bottom w:val="single" w:color="auto" w:sz="4" w:space="0"/>
              <w:right w:val="single" w:color="000000" w:sz="4" w:space="0"/>
            </w:tcBorders>
            <w:shd w:val="clear" w:color="auto" w:fill="auto"/>
            <w:noWrap/>
            <w:vAlign w:val="center"/>
          </w:tcPr>
          <w:p w14:paraId="6B66A10F">
            <w:pPr>
              <w:widowControl/>
              <w:ind w:left="-132" w:leftChars="-63"/>
              <w:jc w:val="center"/>
              <w:rPr>
                <w:rFonts w:hint="default" w:ascii="仿宋" w:hAnsi="仿宋" w:eastAsia="仿宋" w:cs="宋体"/>
                <w:color w:val="000000"/>
                <w:kern w:val="0"/>
                <w:sz w:val="24"/>
                <w:szCs w:val="24"/>
                <w:lang w:val="en-US" w:eastAsia="zh-CN"/>
              </w:rPr>
            </w:pPr>
          </w:p>
        </w:tc>
      </w:tr>
      <w:tr w14:paraId="4ECA5BDC">
        <w:tblPrEx>
          <w:tblCellMar>
            <w:top w:w="0" w:type="dxa"/>
            <w:left w:w="108" w:type="dxa"/>
            <w:bottom w:w="0" w:type="dxa"/>
            <w:right w:w="108" w:type="dxa"/>
          </w:tblCellMar>
        </w:tblPrEx>
        <w:trPr>
          <w:trHeight w:val="572" w:hRule="atLeast"/>
          <w:jc w:val="center"/>
        </w:trPr>
        <w:tc>
          <w:tcPr>
            <w:tcW w:w="1316" w:type="dxa"/>
            <w:vMerge w:val="restart"/>
            <w:tcBorders>
              <w:top w:val="nil"/>
              <w:left w:val="single" w:color="auto" w:sz="4" w:space="0"/>
              <w:right w:val="single" w:color="auto" w:sz="4" w:space="0"/>
            </w:tcBorders>
            <w:shd w:val="clear" w:color="auto" w:fill="auto"/>
            <w:vAlign w:val="center"/>
          </w:tcPr>
          <w:p w14:paraId="1BC517F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w:t>
            </w:r>
          </w:p>
          <w:p w14:paraId="14E5BD5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基本情况</w:t>
            </w:r>
          </w:p>
        </w:tc>
        <w:tc>
          <w:tcPr>
            <w:tcW w:w="2420" w:type="dxa"/>
            <w:gridSpan w:val="2"/>
            <w:tcBorders>
              <w:top w:val="single" w:color="auto" w:sz="4" w:space="0"/>
              <w:left w:val="nil"/>
              <w:bottom w:val="single" w:color="auto" w:sz="4" w:space="0"/>
              <w:right w:val="single" w:color="auto" w:sz="4" w:space="0"/>
            </w:tcBorders>
            <w:vAlign w:val="center"/>
          </w:tcPr>
          <w:p w14:paraId="1DE0E13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机构代码</w:t>
            </w:r>
          </w:p>
        </w:tc>
        <w:tc>
          <w:tcPr>
            <w:tcW w:w="3141" w:type="dxa"/>
            <w:gridSpan w:val="2"/>
            <w:tcBorders>
              <w:top w:val="single" w:color="auto" w:sz="4" w:space="0"/>
              <w:left w:val="nil"/>
              <w:bottom w:val="single" w:color="auto" w:sz="4" w:space="0"/>
              <w:right w:val="single" w:color="000000" w:sz="4" w:space="0"/>
            </w:tcBorders>
            <w:shd w:val="clear" w:color="auto" w:fill="auto"/>
            <w:noWrap/>
            <w:vAlign w:val="center"/>
          </w:tcPr>
          <w:p w14:paraId="227AB245">
            <w:pPr>
              <w:widowControl/>
              <w:jc w:val="center"/>
              <w:rPr>
                <w:rFonts w:hint="default" w:ascii="仿宋" w:hAnsi="仿宋" w:eastAsia="仿宋" w:cs="宋体"/>
                <w:color w:val="000000"/>
                <w:kern w:val="0"/>
                <w:sz w:val="24"/>
                <w:szCs w:val="24"/>
                <w:lang w:val="en-US" w:eastAsia="zh-CN"/>
              </w:rPr>
            </w:pPr>
          </w:p>
        </w:tc>
        <w:tc>
          <w:tcPr>
            <w:tcW w:w="855" w:type="dxa"/>
            <w:tcBorders>
              <w:top w:val="nil"/>
              <w:left w:val="nil"/>
              <w:bottom w:val="single" w:color="auto" w:sz="4" w:space="0"/>
              <w:right w:val="single" w:color="auto" w:sz="4" w:space="0"/>
            </w:tcBorders>
            <w:shd w:val="clear" w:color="auto" w:fill="auto"/>
            <w:noWrap/>
            <w:vAlign w:val="center"/>
          </w:tcPr>
          <w:p w14:paraId="26D9B9F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成立</w:t>
            </w:r>
          </w:p>
          <w:p w14:paraId="7748BE4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时间</w:t>
            </w:r>
          </w:p>
        </w:tc>
        <w:tc>
          <w:tcPr>
            <w:tcW w:w="2525" w:type="dxa"/>
            <w:gridSpan w:val="2"/>
            <w:tcBorders>
              <w:top w:val="nil"/>
              <w:left w:val="nil"/>
              <w:bottom w:val="single" w:color="auto" w:sz="4" w:space="0"/>
              <w:right w:val="single" w:color="auto" w:sz="4" w:space="0"/>
            </w:tcBorders>
            <w:shd w:val="clear" w:color="auto" w:fill="auto"/>
            <w:noWrap/>
            <w:vAlign w:val="center"/>
          </w:tcPr>
          <w:p w14:paraId="1F0C78F5">
            <w:pPr>
              <w:widowControl/>
              <w:jc w:val="center"/>
              <w:rPr>
                <w:rFonts w:hint="default" w:ascii="仿宋" w:hAnsi="仿宋" w:eastAsia="仿宋" w:cs="宋体"/>
                <w:color w:val="000000"/>
                <w:kern w:val="0"/>
                <w:sz w:val="24"/>
                <w:szCs w:val="24"/>
                <w:lang w:val="en-US" w:eastAsia="zh-CN"/>
              </w:rPr>
            </w:pPr>
          </w:p>
        </w:tc>
      </w:tr>
      <w:tr w14:paraId="2B585125">
        <w:tblPrEx>
          <w:tblCellMar>
            <w:top w:w="0" w:type="dxa"/>
            <w:left w:w="108" w:type="dxa"/>
            <w:bottom w:w="0" w:type="dxa"/>
            <w:right w:w="108" w:type="dxa"/>
          </w:tblCellMar>
        </w:tblPrEx>
        <w:trPr>
          <w:trHeight w:val="651" w:hRule="atLeast"/>
          <w:jc w:val="center"/>
        </w:trPr>
        <w:tc>
          <w:tcPr>
            <w:tcW w:w="1316" w:type="dxa"/>
            <w:vMerge w:val="continue"/>
            <w:tcBorders>
              <w:top w:val="nil"/>
              <w:left w:val="single" w:color="auto" w:sz="4" w:space="0"/>
              <w:right w:val="single" w:color="auto" w:sz="4" w:space="0"/>
            </w:tcBorders>
            <w:shd w:val="clear" w:color="auto" w:fill="auto"/>
            <w:vAlign w:val="center"/>
          </w:tcPr>
          <w:p w14:paraId="0F7ACAB9">
            <w:pPr>
              <w:widowControl/>
              <w:jc w:val="center"/>
              <w:rPr>
                <w:rFonts w:ascii="仿宋" w:hAnsi="仿宋" w:eastAsia="仿宋" w:cs="宋体"/>
                <w:color w:val="000000"/>
                <w:kern w:val="0"/>
                <w:sz w:val="24"/>
                <w:szCs w:val="24"/>
              </w:rPr>
            </w:pPr>
          </w:p>
        </w:tc>
        <w:tc>
          <w:tcPr>
            <w:tcW w:w="2420" w:type="dxa"/>
            <w:gridSpan w:val="2"/>
            <w:tcBorders>
              <w:top w:val="single" w:color="auto" w:sz="4" w:space="0"/>
              <w:left w:val="nil"/>
              <w:bottom w:val="single" w:color="auto" w:sz="4" w:space="0"/>
              <w:right w:val="single" w:color="auto" w:sz="4" w:space="0"/>
            </w:tcBorders>
            <w:vAlign w:val="center"/>
          </w:tcPr>
          <w:p w14:paraId="001023C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主管部门</w:t>
            </w:r>
          </w:p>
        </w:tc>
        <w:tc>
          <w:tcPr>
            <w:tcW w:w="6521" w:type="dxa"/>
            <w:gridSpan w:val="5"/>
            <w:tcBorders>
              <w:top w:val="single" w:color="auto" w:sz="4" w:space="0"/>
              <w:left w:val="nil"/>
              <w:bottom w:val="single" w:color="auto" w:sz="4" w:space="0"/>
              <w:right w:val="single" w:color="auto" w:sz="4" w:space="0"/>
            </w:tcBorders>
            <w:shd w:val="clear" w:color="auto" w:fill="auto"/>
            <w:noWrap/>
            <w:vAlign w:val="center"/>
          </w:tcPr>
          <w:p w14:paraId="6E093963">
            <w:pPr>
              <w:widowControl/>
              <w:jc w:val="center"/>
              <w:rPr>
                <w:rFonts w:hint="default" w:ascii="仿宋" w:hAnsi="仿宋" w:eastAsia="仿宋" w:cs="宋体"/>
                <w:color w:val="000000"/>
                <w:kern w:val="0"/>
                <w:sz w:val="24"/>
                <w:szCs w:val="24"/>
                <w:lang w:val="en-US" w:eastAsia="zh-CN"/>
              </w:rPr>
            </w:pPr>
          </w:p>
        </w:tc>
      </w:tr>
      <w:tr w14:paraId="6977CDBF">
        <w:tblPrEx>
          <w:tblCellMar>
            <w:top w:w="0" w:type="dxa"/>
            <w:left w:w="108" w:type="dxa"/>
            <w:bottom w:w="0" w:type="dxa"/>
            <w:right w:w="108" w:type="dxa"/>
          </w:tblCellMar>
        </w:tblPrEx>
        <w:trPr>
          <w:trHeight w:val="486" w:hRule="atLeast"/>
          <w:jc w:val="center"/>
        </w:trPr>
        <w:tc>
          <w:tcPr>
            <w:tcW w:w="1316" w:type="dxa"/>
            <w:vMerge w:val="continue"/>
            <w:tcBorders>
              <w:left w:val="single" w:color="auto" w:sz="4" w:space="0"/>
              <w:right w:val="single" w:color="auto" w:sz="4" w:space="0"/>
            </w:tcBorders>
            <w:vAlign w:val="center"/>
          </w:tcPr>
          <w:p w14:paraId="6D544120">
            <w:pPr>
              <w:widowControl/>
              <w:jc w:val="center"/>
              <w:rPr>
                <w:rFonts w:ascii="仿宋" w:hAnsi="仿宋" w:eastAsia="仿宋" w:cs="宋体"/>
                <w:color w:val="000000"/>
                <w:kern w:val="0"/>
                <w:sz w:val="24"/>
                <w:szCs w:val="24"/>
              </w:rPr>
            </w:pPr>
          </w:p>
        </w:tc>
        <w:tc>
          <w:tcPr>
            <w:tcW w:w="1003" w:type="dxa"/>
            <w:vMerge w:val="restart"/>
            <w:tcBorders>
              <w:top w:val="single" w:color="auto" w:sz="4" w:space="0"/>
              <w:left w:val="nil"/>
              <w:right w:val="single" w:color="auto" w:sz="4" w:space="0"/>
            </w:tcBorders>
            <w:vAlign w:val="center"/>
          </w:tcPr>
          <w:p w14:paraId="77CF7B9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w:t>
            </w:r>
          </w:p>
          <w:p w14:paraId="3E2AA9B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填写</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8249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注册资本 （万元）</w:t>
            </w:r>
          </w:p>
        </w:tc>
        <w:tc>
          <w:tcPr>
            <w:tcW w:w="1689" w:type="dxa"/>
            <w:tcBorders>
              <w:top w:val="single" w:color="auto" w:sz="4" w:space="0"/>
              <w:left w:val="nil"/>
              <w:bottom w:val="single" w:color="auto" w:sz="4" w:space="0"/>
              <w:right w:val="single" w:color="000000" w:sz="4" w:space="0"/>
            </w:tcBorders>
            <w:shd w:val="clear" w:color="auto" w:fill="auto"/>
            <w:noWrap/>
            <w:vAlign w:val="center"/>
          </w:tcPr>
          <w:p w14:paraId="3DD728B3">
            <w:pPr>
              <w:widowControl/>
              <w:jc w:val="center"/>
              <w:rPr>
                <w:rFonts w:hint="default" w:ascii="仿宋" w:hAnsi="仿宋" w:eastAsia="仿宋" w:cs="宋体"/>
                <w:color w:val="000000"/>
                <w:kern w:val="0"/>
                <w:sz w:val="24"/>
                <w:szCs w:val="24"/>
                <w:lang w:val="en-US" w:eastAsia="zh-CN"/>
              </w:rPr>
            </w:pPr>
          </w:p>
        </w:tc>
        <w:tc>
          <w:tcPr>
            <w:tcW w:w="1452" w:type="dxa"/>
            <w:tcBorders>
              <w:top w:val="nil"/>
              <w:left w:val="nil"/>
              <w:bottom w:val="single" w:color="auto" w:sz="4" w:space="0"/>
              <w:right w:val="single" w:color="auto" w:sz="4" w:space="0"/>
            </w:tcBorders>
            <w:shd w:val="clear" w:color="auto" w:fill="auto"/>
            <w:noWrap/>
            <w:vAlign w:val="center"/>
          </w:tcPr>
          <w:p w14:paraId="5514E55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净资产   （万元）</w:t>
            </w:r>
          </w:p>
        </w:tc>
        <w:tc>
          <w:tcPr>
            <w:tcW w:w="3380" w:type="dxa"/>
            <w:gridSpan w:val="3"/>
            <w:tcBorders>
              <w:top w:val="single" w:color="auto" w:sz="4" w:space="0"/>
              <w:left w:val="nil"/>
              <w:bottom w:val="single" w:color="auto" w:sz="4" w:space="0"/>
              <w:right w:val="single" w:color="000000" w:sz="4" w:space="0"/>
            </w:tcBorders>
            <w:shd w:val="clear" w:color="auto" w:fill="auto"/>
            <w:noWrap/>
            <w:vAlign w:val="center"/>
          </w:tcPr>
          <w:p w14:paraId="79D165DB">
            <w:pPr>
              <w:widowControl/>
              <w:jc w:val="center"/>
              <w:rPr>
                <w:rFonts w:hint="default" w:ascii="仿宋" w:hAnsi="仿宋" w:eastAsia="仿宋" w:cs="宋体"/>
                <w:color w:val="000000"/>
                <w:kern w:val="0"/>
                <w:sz w:val="24"/>
                <w:szCs w:val="24"/>
                <w:lang w:val="en-US" w:eastAsia="zh-CN"/>
              </w:rPr>
            </w:pPr>
          </w:p>
        </w:tc>
      </w:tr>
      <w:tr w14:paraId="7375BBF8">
        <w:tblPrEx>
          <w:tblCellMar>
            <w:top w:w="0" w:type="dxa"/>
            <w:left w:w="108" w:type="dxa"/>
            <w:bottom w:w="0" w:type="dxa"/>
            <w:right w:w="108" w:type="dxa"/>
          </w:tblCellMar>
        </w:tblPrEx>
        <w:trPr>
          <w:trHeight w:val="566" w:hRule="atLeast"/>
          <w:jc w:val="center"/>
        </w:trPr>
        <w:tc>
          <w:tcPr>
            <w:tcW w:w="1316" w:type="dxa"/>
            <w:vMerge w:val="continue"/>
            <w:tcBorders>
              <w:left w:val="single" w:color="auto" w:sz="4" w:space="0"/>
              <w:right w:val="single" w:color="auto" w:sz="4" w:space="0"/>
            </w:tcBorders>
            <w:vAlign w:val="center"/>
          </w:tcPr>
          <w:p w14:paraId="3C77C64F">
            <w:pPr>
              <w:widowControl/>
              <w:jc w:val="center"/>
              <w:rPr>
                <w:rFonts w:ascii="仿宋" w:hAnsi="仿宋" w:eastAsia="仿宋" w:cs="宋体"/>
                <w:color w:val="000000"/>
                <w:kern w:val="0"/>
                <w:sz w:val="24"/>
                <w:szCs w:val="24"/>
              </w:rPr>
            </w:pPr>
          </w:p>
        </w:tc>
        <w:tc>
          <w:tcPr>
            <w:tcW w:w="1003" w:type="dxa"/>
            <w:vMerge w:val="continue"/>
            <w:tcBorders>
              <w:left w:val="nil"/>
              <w:right w:val="single" w:color="auto" w:sz="4" w:space="0"/>
            </w:tcBorders>
          </w:tcPr>
          <w:p w14:paraId="4910F4D2">
            <w:pPr>
              <w:widowControl/>
              <w:jc w:val="center"/>
              <w:rPr>
                <w:rFonts w:ascii="仿宋" w:hAnsi="仿宋" w:eastAsia="仿宋" w:cs="宋体"/>
                <w:color w:val="000000"/>
                <w:kern w:val="0"/>
                <w:sz w:val="24"/>
                <w:szCs w:val="24"/>
              </w:rPr>
            </w:pPr>
          </w:p>
        </w:tc>
        <w:tc>
          <w:tcPr>
            <w:tcW w:w="1417" w:type="dxa"/>
            <w:tcBorders>
              <w:top w:val="nil"/>
              <w:left w:val="single" w:color="auto" w:sz="4" w:space="0"/>
              <w:bottom w:val="single" w:color="auto" w:sz="4" w:space="0"/>
              <w:right w:val="single" w:color="auto" w:sz="4" w:space="0"/>
            </w:tcBorders>
            <w:shd w:val="clear" w:color="auto" w:fill="auto"/>
            <w:noWrap/>
            <w:vAlign w:val="center"/>
          </w:tcPr>
          <w:p w14:paraId="5DDA0DB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累计担保额（万元）</w:t>
            </w:r>
          </w:p>
        </w:tc>
        <w:tc>
          <w:tcPr>
            <w:tcW w:w="1689" w:type="dxa"/>
            <w:tcBorders>
              <w:top w:val="nil"/>
              <w:left w:val="nil"/>
              <w:bottom w:val="single" w:color="auto" w:sz="4" w:space="0"/>
              <w:right w:val="single" w:color="auto" w:sz="4" w:space="0"/>
            </w:tcBorders>
            <w:shd w:val="clear" w:color="auto" w:fill="auto"/>
            <w:noWrap/>
            <w:vAlign w:val="center"/>
          </w:tcPr>
          <w:p w14:paraId="369078D9">
            <w:pPr>
              <w:widowControl/>
              <w:jc w:val="center"/>
              <w:rPr>
                <w:rFonts w:ascii="仿宋" w:hAnsi="仿宋" w:eastAsia="仿宋" w:cs="宋体"/>
                <w:color w:val="000000"/>
                <w:kern w:val="0"/>
                <w:sz w:val="24"/>
                <w:szCs w:val="24"/>
              </w:rPr>
            </w:pPr>
          </w:p>
        </w:tc>
        <w:tc>
          <w:tcPr>
            <w:tcW w:w="1452" w:type="dxa"/>
            <w:tcBorders>
              <w:top w:val="nil"/>
              <w:left w:val="nil"/>
              <w:bottom w:val="single" w:color="auto" w:sz="4" w:space="0"/>
              <w:right w:val="single" w:color="auto" w:sz="4" w:space="0"/>
            </w:tcBorders>
            <w:shd w:val="clear" w:color="auto" w:fill="auto"/>
            <w:noWrap/>
            <w:vAlign w:val="center"/>
          </w:tcPr>
          <w:p w14:paraId="650C994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在保余额 （万元）</w:t>
            </w:r>
          </w:p>
        </w:tc>
        <w:tc>
          <w:tcPr>
            <w:tcW w:w="855" w:type="dxa"/>
            <w:tcBorders>
              <w:top w:val="nil"/>
              <w:left w:val="nil"/>
              <w:bottom w:val="single" w:color="auto" w:sz="4" w:space="0"/>
              <w:right w:val="single" w:color="auto" w:sz="4" w:space="0"/>
            </w:tcBorders>
            <w:shd w:val="clear" w:color="auto" w:fill="auto"/>
            <w:noWrap/>
            <w:vAlign w:val="center"/>
          </w:tcPr>
          <w:p w14:paraId="45FE99B7">
            <w:pPr>
              <w:widowControl/>
              <w:jc w:val="center"/>
              <w:rPr>
                <w:rFonts w:ascii="仿宋" w:hAnsi="仿宋" w:eastAsia="仿宋" w:cs="宋体"/>
                <w:color w:val="000000"/>
                <w:kern w:val="0"/>
                <w:sz w:val="24"/>
                <w:szCs w:val="24"/>
              </w:rPr>
            </w:pPr>
          </w:p>
        </w:tc>
        <w:tc>
          <w:tcPr>
            <w:tcW w:w="1035" w:type="dxa"/>
            <w:tcBorders>
              <w:top w:val="nil"/>
              <w:left w:val="nil"/>
              <w:bottom w:val="single" w:color="auto" w:sz="4" w:space="0"/>
              <w:right w:val="single" w:color="auto" w:sz="4" w:space="0"/>
            </w:tcBorders>
            <w:shd w:val="clear" w:color="auto" w:fill="auto"/>
            <w:noWrap/>
            <w:vAlign w:val="center"/>
          </w:tcPr>
          <w:p w14:paraId="4E96141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在保</w:t>
            </w:r>
          </w:p>
          <w:p w14:paraId="1DEE7A8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户数</w:t>
            </w:r>
          </w:p>
        </w:tc>
        <w:tc>
          <w:tcPr>
            <w:tcW w:w="1490" w:type="dxa"/>
            <w:tcBorders>
              <w:top w:val="nil"/>
              <w:left w:val="nil"/>
              <w:bottom w:val="single" w:color="auto" w:sz="4" w:space="0"/>
              <w:right w:val="single" w:color="auto" w:sz="4" w:space="0"/>
            </w:tcBorders>
            <w:shd w:val="clear" w:color="auto" w:fill="auto"/>
            <w:noWrap/>
            <w:vAlign w:val="center"/>
          </w:tcPr>
          <w:p w14:paraId="5CC78CB3">
            <w:pPr>
              <w:widowControl/>
              <w:jc w:val="center"/>
              <w:rPr>
                <w:rFonts w:ascii="仿宋" w:hAnsi="仿宋" w:eastAsia="仿宋" w:cs="宋体"/>
                <w:color w:val="000000"/>
                <w:kern w:val="0"/>
                <w:sz w:val="24"/>
                <w:szCs w:val="24"/>
              </w:rPr>
            </w:pPr>
          </w:p>
        </w:tc>
      </w:tr>
      <w:tr w14:paraId="264E5380">
        <w:tblPrEx>
          <w:tblCellMar>
            <w:top w:w="0" w:type="dxa"/>
            <w:left w:w="108" w:type="dxa"/>
            <w:bottom w:w="0" w:type="dxa"/>
            <w:right w:w="108" w:type="dxa"/>
          </w:tblCellMar>
        </w:tblPrEx>
        <w:trPr>
          <w:trHeight w:val="645" w:hRule="atLeast"/>
          <w:jc w:val="center"/>
        </w:trPr>
        <w:tc>
          <w:tcPr>
            <w:tcW w:w="1316" w:type="dxa"/>
            <w:vMerge w:val="continue"/>
            <w:tcBorders>
              <w:left w:val="single" w:color="auto" w:sz="4" w:space="0"/>
              <w:right w:val="single" w:color="auto" w:sz="4" w:space="0"/>
            </w:tcBorders>
            <w:vAlign w:val="center"/>
          </w:tcPr>
          <w:p w14:paraId="0BB7C836">
            <w:pPr>
              <w:widowControl/>
              <w:jc w:val="center"/>
              <w:rPr>
                <w:rFonts w:ascii="仿宋" w:hAnsi="仿宋" w:eastAsia="仿宋" w:cs="宋体"/>
                <w:color w:val="000000"/>
                <w:kern w:val="0"/>
                <w:sz w:val="24"/>
                <w:szCs w:val="24"/>
              </w:rPr>
            </w:pPr>
          </w:p>
        </w:tc>
        <w:tc>
          <w:tcPr>
            <w:tcW w:w="1003" w:type="dxa"/>
            <w:vMerge w:val="continue"/>
            <w:tcBorders>
              <w:left w:val="nil"/>
              <w:bottom w:val="single" w:color="auto" w:sz="4" w:space="0"/>
              <w:right w:val="single" w:color="auto" w:sz="4" w:space="0"/>
            </w:tcBorders>
          </w:tcPr>
          <w:p w14:paraId="6BB779DF">
            <w:pPr>
              <w:widowControl/>
              <w:jc w:val="center"/>
              <w:rPr>
                <w:rFonts w:ascii="仿宋" w:hAnsi="仿宋" w:eastAsia="仿宋" w:cs="宋体"/>
                <w:color w:val="000000"/>
                <w:kern w:val="0"/>
                <w:sz w:val="24"/>
                <w:szCs w:val="24"/>
              </w:rPr>
            </w:pPr>
          </w:p>
        </w:tc>
        <w:tc>
          <w:tcPr>
            <w:tcW w:w="1417" w:type="dxa"/>
            <w:tcBorders>
              <w:top w:val="nil"/>
              <w:left w:val="single" w:color="auto" w:sz="4" w:space="0"/>
              <w:bottom w:val="single" w:color="auto" w:sz="4" w:space="0"/>
              <w:right w:val="single" w:color="auto" w:sz="4" w:space="0"/>
            </w:tcBorders>
            <w:shd w:val="clear" w:color="auto" w:fill="auto"/>
            <w:noWrap/>
            <w:vAlign w:val="center"/>
          </w:tcPr>
          <w:p w14:paraId="24E031A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机构性质</w:t>
            </w:r>
          </w:p>
        </w:tc>
        <w:tc>
          <w:tcPr>
            <w:tcW w:w="3996" w:type="dxa"/>
            <w:gridSpan w:val="3"/>
            <w:tcBorders>
              <w:top w:val="nil"/>
              <w:left w:val="nil"/>
              <w:bottom w:val="single" w:color="auto" w:sz="4" w:space="0"/>
              <w:right w:val="single" w:color="auto" w:sz="4" w:space="0"/>
            </w:tcBorders>
            <w:shd w:val="clear" w:color="auto" w:fill="auto"/>
            <w:noWrap/>
            <w:vAlign w:val="center"/>
          </w:tcPr>
          <w:p w14:paraId="402569C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□国有  □合资</w:t>
            </w:r>
          </w:p>
          <w:p w14:paraId="6BEA235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□外资  □民营</w:t>
            </w:r>
          </w:p>
        </w:tc>
        <w:tc>
          <w:tcPr>
            <w:tcW w:w="1035" w:type="dxa"/>
            <w:tcBorders>
              <w:top w:val="nil"/>
              <w:left w:val="nil"/>
              <w:bottom w:val="single" w:color="auto" w:sz="4" w:space="0"/>
              <w:right w:val="single" w:color="auto" w:sz="4" w:space="0"/>
            </w:tcBorders>
            <w:shd w:val="clear" w:color="auto" w:fill="auto"/>
            <w:vAlign w:val="center"/>
          </w:tcPr>
          <w:p w14:paraId="6E1D03F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资信</w:t>
            </w:r>
          </w:p>
          <w:p w14:paraId="02A2626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评级</w:t>
            </w:r>
          </w:p>
        </w:tc>
        <w:tc>
          <w:tcPr>
            <w:tcW w:w="1490" w:type="dxa"/>
            <w:tcBorders>
              <w:top w:val="nil"/>
              <w:left w:val="nil"/>
              <w:bottom w:val="single" w:color="auto" w:sz="4" w:space="0"/>
              <w:right w:val="single" w:color="auto" w:sz="4" w:space="0"/>
            </w:tcBorders>
            <w:shd w:val="clear" w:color="auto" w:fill="auto"/>
            <w:vAlign w:val="center"/>
          </w:tcPr>
          <w:p w14:paraId="2E06E1AF">
            <w:pPr>
              <w:widowControl/>
              <w:rPr>
                <w:rFonts w:ascii="仿宋" w:hAnsi="仿宋" w:eastAsia="仿宋" w:cs="宋体"/>
                <w:color w:val="000000"/>
                <w:kern w:val="0"/>
                <w:sz w:val="24"/>
                <w:szCs w:val="24"/>
              </w:rPr>
            </w:pPr>
          </w:p>
        </w:tc>
      </w:tr>
      <w:tr w14:paraId="0B623050">
        <w:tblPrEx>
          <w:tblCellMar>
            <w:top w:w="0" w:type="dxa"/>
            <w:left w:w="108" w:type="dxa"/>
            <w:bottom w:w="0" w:type="dxa"/>
            <w:right w:w="108" w:type="dxa"/>
          </w:tblCellMar>
        </w:tblPrEx>
        <w:trPr>
          <w:trHeight w:val="776" w:hRule="atLeast"/>
          <w:jc w:val="center"/>
        </w:trPr>
        <w:tc>
          <w:tcPr>
            <w:tcW w:w="1316" w:type="dxa"/>
            <w:tcBorders>
              <w:top w:val="nil"/>
              <w:left w:val="single" w:color="auto" w:sz="4" w:space="0"/>
              <w:bottom w:val="single" w:color="auto" w:sz="4" w:space="0"/>
              <w:right w:val="single" w:color="auto" w:sz="4" w:space="0"/>
            </w:tcBorders>
            <w:shd w:val="clear" w:color="auto" w:fill="auto"/>
            <w:vAlign w:val="center"/>
          </w:tcPr>
          <w:p w14:paraId="7750172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文件运转</w:t>
            </w:r>
          </w:p>
          <w:p w14:paraId="5C0F33A8">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专用邮箱  (必填)</w:t>
            </w:r>
          </w:p>
        </w:tc>
        <w:tc>
          <w:tcPr>
            <w:tcW w:w="4109" w:type="dxa"/>
            <w:gridSpan w:val="3"/>
            <w:tcBorders>
              <w:top w:val="single" w:color="auto" w:sz="4" w:space="0"/>
              <w:left w:val="nil"/>
              <w:bottom w:val="single" w:color="auto" w:sz="4" w:space="0"/>
              <w:right w:val="single" w:color="auto" w:sz="4" w:space="0"/>
            </w:tcBorders>
            <w:vAlign w:val="center"/>
          </w:tcPr>
          <w:p w14:paraId="4241C735">
            <w:pPr>
              <w:widowControl/>
              <w:jc w:val="center"/>
              <w:rPr>
                <w:rFonts w:hint="default" w:ascii="仿宋" w:hAnsi="仿宋" w:eastAsia="仿宋" w:cs="宋体"/>
                <w:color w:val="000000"/>
                <w:kern w:val="0"/>
                <w:sz w:val="24"/>
                <w:szCs w:val="24"/>
                <w:lang w:val="en-US" w:eastAsia="zh-CN"/>
              </w:rPr>
            </w:pPr>
          </w:p>
        </w:tc>
        <w:tc>
          <w:tcPr>
            <w:tcW w:w="1452" w:type="dxa"/>
            <w:tcBorders>
              <w:top w:val="nil"/>
              <w:left w:val="nil"/>
              <w:bottom w:val="single" w:color="auto" w:sz="4" w:space="0"/>
              <w:right w:val="single" w:color="auto" w:sz="4" w:space="0"/>
            </w:tcBorders>
            <w:shd w:val="clear" w:color="auto" w:fill="auto"/>
            <w:noWrap/>
            <w:vAlign w:val="center"/>
          </w:tcPr>
          <w:p w14:paraId="4606095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传真</w:t>
            </w:r>
          </w:p>
        </w:tc>
        <w:tc>
          <w:tcPr>
            <w:tcW w:w="3380" w:type="dxa"/>
            <w:gridSpan w:val="3"/>
            <w:tcBorders>
              <w:top w:val="nil"/>
              <w:left w:val="nil"/>
              <w:bottom w:val="single" w:color="auto" w:sz="4" w:space="0"/>
              <w:right w:val="single" w:color="auto" w:sz="4" w:space="0"/>
            </w:tcBorders>
            <w:shd w:val="clear" w:color="auto" w:fill="auto"/>
            <w:noWrap/>
            <w:vAlign w:val="center"/>
          </w:tcPr>
          <w:p w14:paraId="66149D3A">
            <w:pPr>
              <w:widowControl/>
              <w:jc w:val="center"/>
              <w:rPr>
                <w:rFonts w:ascii="仿宋" w:hAnsi="仿宋" w:eastAsia="仿宋" w:cs="宋体"/>
                <w:color w:val="000000"/>
                <w:kern w:val="0"/>
                <w:sz w:val="24"/>
                <w:szCs w:val="24"/>
              </w:rPr>
            </w:pPr>
          </w:p>
        </w:tc>
      </w:tr>
      <w:tr w14:paraId="2DE845AB">
        <w:tblPrEx>
          <w:tblCellMar>
            <w:top w:w="0" w:type="dxa"/>
            <w:left w:w="108" w:type="dxa"/>
            <w:bottom w:w="0" w:type="dxa"/>
            <w:right w:w="108" w:type="dxa"/>
          </w:tblCellMar>
        </w:tblPrEx>
        <w:trPr>
          <w:trHeight w:val="608" w:hRule="atLeast"/>
          <w:jc w:val="center"/>
        </w:trPr>
        <w:tc>
          <w:tcPr>
            <w:tcW w:w="1316" w:type="dxa"/>
            <w:vMerge w:val="restart"/>
            <w:tcBorders>
              <w:top w:val="nil"/>
              <w:left w:val="single" w:color="auto" w:sz="4" w:space="0"/>
              <w:right w:val="single" w:color="auto" w:sz="4" w:space="0"/>
            </w:tcBorders>
            <w:shd w:val="clear" w:color="auto" w:fill="auto"/>
            <w:vAlign w:val="center"/>
          </w:tcPr>
          <w:p w14:paraId="2CCA8CA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高管   </w:t>
            </w:r>
          </w:p>
          <w:p w14:paraId="36B2A31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微信群</w:t>
            </w:r>
          </w:p>
          <w:p w14:paraId="13B4F76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联络信息(必填)</w:t>
            </w:r>
          </w:p>
        </w:tc>
        <w:tc>
          <w:tcPr>
            <w:tcW w:w="1003" w:type="dxa"/>
            <w:vMerge w:val="restart"/>
            <w:tcBorders>
              <w:top w:val="single" w:color="auto" w:sz="4" w:space="0"/>
              <w:left w:val="nil"/>
              <w:right w:val="single" w:color="auto" w:sz="4" w:space="0"/>
            </w:tcBorders>
            <w:vAlign w:val="center"/>
          </w:tcPr>
          <w:p w14:paraId="3FE40E8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高管</w:t>
            </w:r>
          </w:p>
          <w:p w14:paraId="202FBBC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负责人1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04D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1689" w:type="dxa"/>
            <w:tcBorders>
              <w:top w:val="nil"/>
              <w:left w:val="nil"/>
              <w:bottom w:val="single" w:color="auto" w:sz="4" w:space="0"/>
              <w:right w:val="single" w:color="auto" w:sz="4" w:space="0"/>
            </w:tcBorders>
            <w:shd w:val="clear" w:color="auto" w:fill="auto"/>
            <w:vAlign w:val="center"/>
          </w:tcPr>
          <w:p w14:paraId="71C42C33">
            <w:pPr>
              <w:widowControl/>
              <w:jc w:val="center"/>
              <w:rPr>
                <w:rFonts w:hint="default" w:ascii="仿宋" w:hAnsi="仿宋" w:eastAsia="仿宋" w:cs="宋体"/>
                <w:color w:val="000000"/>
                <w:kern w:val="0"/>
                <w:sz w:val="24"/>
                <w:szCs w:val="24"/>
                <w:lang w:val="en-US" w:eastAsia="zh-CN"/>
              </w:rPr>
            </w:pPr>
          </w:p>
        </w:tc>
        <w:tc>
          <w:tcPr>
            <w:tcW w:w="2307" w:type="dxa"/>
            <w:gridSpan w:val="2"/>
            <w:tcBorders>
              <w:top w:val="nil"/>
              <w:left w:val="nil"/>
              <w:bottom w:val="single" w:color="auto" w:sz="4" w:space="0"/>
              <w:right w:val="single" w:color="auto" w:sz="4" w:space="0"/>
            </w:tcBorders>
            <w:shd w:val="clear" w:color="auto" w:fill="auto"/>
            <w:noWrap/>
            <w:vAlign w:val="center"/>
          </w:tcPr>
          <w:p w14:paraId="2982EF7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手机及座机</w:t>
            </w:r>
          </w:p>
        </w:tc>
        <w:tc>
          <w:tcPr>
            <w:tcW w:w="2525" w:type="dxa"/>
            <w:gridSpan w:val="2"/>
            <w:tcBorders>
              <w:top w:val="nil"/>
              <w:left w:val="nil"/>
              <w:bottom w:val="single" w:color="auto" w:sz="4" w:space="0"/>
              <w:right w:val="single" w:color="auto" w:sz="4" w:space="0"/>
            </w:tcBorders>
            <w:shd w:val="clear" w:color="auto" w:fill="auto"/>
            <w:noWrap/>
            <w:vAlign w:val="center"/>
          </w:tcPr>
          <w:p w14:paraId="60C9AAFD">
            <w:pPr>
              <w:widowControl/>
              <w:jc w:val="center"/>
              <w:rPr>
                <w:rFonts w:hint="default" w:ascii="仿宋" w:hAnsi="仿宋" w:eastAsia="仿宋" w:cs="宋体"/>
                <w:color w:val="000000"/>
                <w:kern w:val="0"/>
                <w:sz w:val="24"/>
                <w:szCs w:val="24"/>
                <w:lang w:val="en-US" w:eastAsia="zh-CN"/>
              </w:rPr>
            </w:pPr>
          </w:p>
        </w:tc>
      </w:tr>
      <w:tr w14:paraId="53A50E62">
        <w:tblPrEx>
          <w:tblCellMar>
            <w:top w:w="0" w:type="dxa"/>
            <w:left w:w="108" w:type="dxa"/>
            <w:bottom w:w="0" w:type="dxa"/>
            <w:right w:w="108" w:type="dxa"/>
          </w:tblCellMar>
        </w:tblPrEx>
        <w:trPr>
          <w:trHeight w:val="549" w:hRule="atLeast"/>
          <w:jc w:val="center"/>
        </w:trPr>
        <w:tc>
          <w:tcPr>
            <w:tcW w:w="1316" w:type="dxa"/>
            <w:vMerge w:val="continue"/>
            <w:tcBorders>
              <w:left w:val="single" w:color="auto" w:sz="4" w:space="0"/>
              <w:right w:val="single" w:color="auto" w:sz="4" w:space="0"/>
            </w:tcBorders>
            <w:shd w:val="clear" w:color="auto" w:fill="auto"/>
            <w:vAlign w:val="center"/>
          </w:tcPr>
          <w:p w14:paraId="7DEE53C4">
            <w:pPr>
              <w:widowControl/>
              <w:jc w:val="center"/>
              <w:rPr>
                <w:rFonts w:ascii="仿宋" w:hAnsi="仿宋" w:eastAsia="仿宋" w:cs="宋体"/>
                <w:color w:val="000000"/>
                <w:kern w:val="0"/>
                <w:sz w:val="24"/>
                <w:szCs w:val="24"/>
              </w:rPr>
            </w:pPr>
          </w:p>
        </w:tc>
        <w:tc>
          <w:tcPr>
            <w:tcW w:w="1003" w:type="dxa"/>
            <w:vMerge w:val="continue"/>
            <w:tcBorders>
              <w:left w:val="nil"/>
              <w:bottom w:val="single" w:color="auto" w:sz="4" w:space="0"/>
              <w:right w:val="single" w:color="auto" w:sz="4" w:space="0"/>
            </w:tcBorders>
            <w:vAlign w:val="center"/>
          </w:tcPr>
          <w:p w14:paraId="338FDE02">
            <w:pPr>
              <w:widowControl/>
              <w:jc w:val="center"/>
              <w:rPr>
                <w:rFonts w:ascii="仿宋" w:hAnsi="仿宋" w:eastAsia="仿宋"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ACB2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职务</w:t>
            </w:r>
          </w:p>
        </w:tc>
        <w:tc>
          <w:tcPr>
            <w:tcW w:w="1689" w:type="dxa"/>
            <w:tcBorders>
              <w:top w:val="nil"/>
              <w:left w:val="nil"/>
              <w:bottom w:val="single" w:color="auto" w:sz="4" w:space="0"/>
              <w:right w:val="single" w:color="auto" w:sz="4" w:space="0"/>
            </w:tcBorders>
            <w:shd w:val="clear" w:color="auto" w:fill="auto"/>
            <w:vAlign w:val="center"/>
          </w:tcPr>
          <w:p w14:paraId="0CA11CCD">
            <w:pPr>
              <w:widowControl/>
              <w:jc w:val="center"/>
              <w:rPr>
                <w:rFonts w:hint="eastAsia" w:ascii="仿宋" w:hAnsi="仿宋" w:eastAsia="仿宋" w:cs="宋体"/>
                <w:color w:val="000000"/>
                <w:kern w:val="0"/>
                <w:sz w:val="24"/>
                <w:szCs w:val="24"/>
                <w:lang w:val="en-US" w:eastAsia="zh-CN"/>
              </w:rPr>
            </w:pPr>
          </w:p>
        </w:tc>
        <w:tc>
          <w:tcPr>
            <w:tcW w:w="2307" w:type="dxa"/>
            <w:gridSpan w:val="2"/>
            <w:tcBorders>
              <w:top w:val="nil"/>
              <w:left w:val="nil"/>
              <w:bottom w:val="single" w:color="auto" w:sz="4" w:space="0"/>
              <w:right w:val="single" w:color="auto" w:sz="4" w:space="0"/>
            </w:tcBorders>
            <w:shd w:val="clear" w:color="auto" w:fill="auto"/>
            <w:noWrap/>
            <w:vAlign w:val="center"/>
          </w:tcPr>
          <w:p w14:paraId="5C6BD0B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微信号</w:t>
            </w:r>
          </w:p>
        </w:tc>
        <w:tc>
          <w:tcPr>
            <w:tcW w:w="2525" w:type="dxa"/>
            <w:gridSpan w:val="2"/>
            <w:tcBorders>
              <w:top w:val="nil"/>
              <w:left w:val="nil"/>
              <w:bottom w:val="single" w:color="auto" w:sz="4" w:space="0"/>
              <w:right w:val="single" w:color="auto" w:sz="4" w:space="0"/>
            </w:tcBorders>
            <w:shd w:val="clear" w:color="auto" w:fill="auto"/>
            <w:noWrap/>
            <w:vAlign w:val="center"/>
          </w:tcPr>
          <w:p w14:paraId="648052FF">
            <w:pPr>
              <w:widowControl/>
              <w:jc w:val="center"/>
              <w:rPr>
                <w:rFonts w:hint="default" w:ascii="仿宋" w:hAnsi="仿宋" w:eastAsia="仿宋" w:cs="宋体"/>
                <w:color w:val="000000"/>
                <w:kern w:val="0"/>
                <w:sz w:val="24"/>
                <w:szCs w:val="24"/>
                <w:lang w:val="en-US" w:eastAsia="zh-CN"/>
              </w:rPr>
            </w:pPr>
          </w:p>
        </w:tc>
      </w:tr>
      <w:tr w14:paraId="19AAE08D">
        <w:tblPrEx>
          <w:tblCellMar>
            <w:top w:w="0" w:type="dxa"/>
            <w:left w:w="108" w:type="dxa"/>
            <w:bottom w:w="0" w:type="dxa"/>
            <w:right w:w="108" w:type="dxa"/>
          </w:tblCellMar>
        </w:tblPrEx>
        <w:trPr>
          <w:trHeight w:val="555" w:hRule="atLeast"/>
          <w:jc w:val="center"/>
        </w:trPr>
        <w:tc>
          <w:tcPr>
            <w:tcW w:w="1316" w:type="dxa"/>
            <w:vMerge w:val="continue"/>
            <w:tcBorders>
              <w:left w:val="single" w:color="auto" w:sz="4" w:space="0"/>
              <w:right w:val="single" w:color="auto" w:sz="4" w:space="0"/>
            </w:tcBorders>
            <w:shd w:val="clear" w:color="auto" w:fill="auto"/>
            <w:vAlign w:val="center"/>
          </w:tcPr>
          <w:p w14:paraId="2DD2C8A3">
            <w:pPr>
              <w:widowControl/>
              <w:jc w:val="center"/>
              <w:rPr>
                <w:rFonts w:ascii="仿宋" w:hAnsi="仿宋" w:eastAsia="仿宋" w:cs="宋体"/>
                <w:color w:val="000000"/>
                <w:kern w:val="0"/>
                <w:sz w:val="24"/>
                <w:szCs w:val="24"/>
              </w:rPr>
            </w:pPr>
          </w:p>
        </w:tc>
        <w:tc>
          <w:tcPr>
            <w:tcW w:w="1003" w:type="dxa"/>
            <w:vMerge w:val="restart"/>
            <w:tcBorders>
              <w:top w:val="single" w:color="auto" w:sz="4" w:space="0"/>
              <w:left w:val="nil"/>
              <w:right w:val="single" w:color="auto" w:sz="4" w:space="0"/>
            </w:tcBorders>
            <w:vAlign w:val="center"/>
          </w:tcPr>
          <w:p w14:paraId="5EF09F5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高管</w:t>
            </w:r>
          </w:p>
          <w:p w14:paraId="1362B86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负责人2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349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1689" w:type="dxa"/>
            <w:tcBorders>
              <w:top w:val="nil"/>
              <w:left w:val="nil"/>
              <w:bottom w:val="single" w:color="auto" w:sz="4" w:space="0"/>
              <w:right w:val="single" w:color="auto" w:sz="4" w:space="0"/>
            </w:tcBorders>
            <w:shd w:val="clear" w:color="auto" w:fill="auto"/>
            <w:vAlign w:val="center"/>
          </w:tcPr>
          <w:p w14:paraId="0FF07FB5">
            <w:pPr>
              <w:widowControl/>
              <w:jc w:val="center"/>
              <w:rPr>
                <w:rFonts w:hint="default" w:ascii="仿宋" w:hAnsi="仿宋" w:eastAsia="仿宋" w:cs="宋体"/>
                <w:color w:val="000000"/>
                <w:kern w:val="0"/>
                <w:sz w:val="24"/>
                <w:szCs w:val="24"/>
                <w:lang w:val="en-US" w:eastAsia="zh-CN"/>
              </w:rPr>
            </w:pPr>
          </w:p>
        </w:tc>
        <w:tc>
          <w:tcPr>
            <w:tcW w:w="2307" w:type="dxa"/>
            <w:gridSpan w:val="2"/>
            <w:tcBorders>
              <w:top w:val="nil"/>
              <w:left w:val="nil"/>
              <w:bottom w:val="single" w:color="auto" w:sz="4" w:space="0"/>
              <w:right w:val="single" w:color="auto" w:sz="4" w:space="0"/>
            </w:tcBorders>
            <w:shd w:val="clear" w:color="auto" w:fill="auto"/>
            <w:noWrap/>
            <w:vAlign w:val="center"/>
          </w:tcPr>
          <w:p w14:paraId="5C13288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手机及座机</w:t>
            </w:r>
          </w:p>
        </w:tc>
        <w:tc>
          <w:tcPr>
            <w:tcW w:w="2525" w:type="dxa"/>
            <w:gridSpan w:val="2"/>
            <w:tcBorders>
              <w:top w:val="nil"/>
              <w:left w:val="nil"/>
              <w:bottom w:val="single" w:color="auto" w:sz="4" w:space="0"/>
              <w:right w:val="single" w:color="auto" w:sz="4" w:space="0"/>
            </w:tcBorders>
            <w:shd w:val="clear" w:color="auto" w:fill="auto"/>
            <w:noWrap/>
            <w:vAlign w:val="center"/>
          </w:tcPr>
          <w:p w14:paraId="59859787">
            <w:pPr>
              <w:widowControl/>
              <w:jc w:val="center"/>
              <w:rPr>
                <w:rFonts w:hint="default" w:ascii="仿宋" w:hAnsi="仿宋" w:eastAsia="仿宋" w:cs="宋体"/>
                <w:color w:val="000000"/>
                <w:kern w:val="0"/>
                <w:sz w:val="24"/>
                <w:szCs w:val="24"/>
                <w:lang w:val="en-US" w:eastAsia="zh-CN"/>
              </w:rPr>
            </w:pPr>
          </w:p>
        </w:tc>
      </w:tr>
      <w:tr w14:paraId="3B4C5202">
        <w:tblPrEx>
          <w:tblCellMar>
            <w:top w:w="0" w:type="dxa"/>
            <w:left w:w="108" w:type="dxa"/>
            <w:bottom w:w="0" w:type="dxa"/>
            <w:right w:w="108" w:type="dxa"/>
          </w:tblCellMar>
        </w:tblPrEx>
        <w:trPr>
          <w:trHeight w:val="549" w:hRule="atLeast"/>
          <w:jc w:val="center"/>
        </w:trPr>
        <w:tc>
          <w:tcPr>
            <w:tcW w:w="1316" w:type="dxa"/>
            <w:vMerge w:val="continue"/>
            <w:tcBorders>
              <w:left w:val="single" w:color="auto" w:sz="4" w:space="0"/>
              <w:bottom w:val="single" w:color="auto" w:sz="4" w:space="0"/>
              <w:right w:val="single" w:color="auto" w:sz="4" w:space="0"/>
            </w:tcBorders>
            <w:shd w:val="clear" w:color="auto" w:fill="auto"/>
            <w:vAlign w:val="center"/>
          </w:tcPr>
          <w:p w14:paraId="562F70D0">
            <w:pPr>
              <w:widowControl/>
              <w:jc w:val="center"/>
              <w:rPr>
                <w:rFonts w:ascii="仿宋" w:hAnsi="仿宋" w:eastAsia="仿宋" w:cs="宋体"/>
                <w:color w:val="000000"/>
                <w:kern w:val="0"/>
                <w:sz w:val="24"/>
                <w:szCs w:val="24"/>
              </w:rPr>
            </w:pPr>
          </w:p>
        </w:tc>
        <w:tc>
          <w:tcPr>
            <w:tcW w:w="1003" w:type="dxa"/>
            <w:vMerge w:val="continue"/>
            <w:tcBorders>
              <w:left w:val="nil"/>
              <w:bottom w:val="single" w:color="auto" w:sz="4" w:space="0"/>
              <w:right w:val="single" w:color="auto" w:sz="4" w:space="0"/>
            </w:tcBorders>
          </w:tcPr>
          <w:p w14:paraId="0CE5AF5C">
            <w:pPr>
              <w:widowControl/>
              <w:jc w:val="center"/>
              <w:rPr>
                <w:rFonts w:ascii="仿宋" w:hAnsi="仿宋" w:eastAsia="仿宋"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BFB9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职务</w:t>
            </w:r>
          </w:p>
        </w:tc>
        <w:tc>
          <w:tcPr>
            <w:tcW w:w="1689" w:type="dxa"/>
            <w:tcBorders>
              <w:top w:val="nil"/>
              <w:left w:val="nil"/>
              <w:bottom w:val="single" w:color="auto" w:sz="4" w:space="0"/>
              <w:right w:val="single" w:color="auto" w:sz="4" w:space="0"/>
            </w:tcBorders>
            <w:shd w:val="clear" w:color="auto" w:fill="auto"/>
            <w:vAlign w:val="center"/>
          </w:tcPr>
          <w:p w14:paraId="78CA89CC">
            <w:pPr>
              <w:widowControl/>
              <w:jc w:val="center"/>
              <w:rPr>
                <w:rFonts w:hint="eastAsia" w:ascii="仿宋" w:hAnsi="仿宋" w:eastAsia="仿宋" w:cs="宋体"/>
                <w:color w:val="000000"/>
                <w:kern w:val="0"/>
                <w:sz w:val="24"/>
                <w:szCs w:val="24"/>
                <w:lang w:val="en-US" w:eastAsia="zh-CN"/>
              </w:rPr>
            </w:pPr>
          </w:p>
        </w:tc>
        <w:tc>
          <w:tcPr>
            <w:tcW w:w="2307" w:type="dxa"/>
            <w:gridSpan w:val="2"/>
            <w:tcBorders>
              <w:top w:val="nil"/>
              <w:left w:val="nil"/>
              <w:bottom w:val="single" w:color="auto" w:sz="4" w:space="0"/>
              <w:right w:val="single" w:color="auto" w:sz="4" w:space="0"/>
            </w:tcBorders>
            <w:shd w:val="clear" w:color="auto" w:fill="auto"/>
            <w:noWrap/>
            <w:vAlign w:val="center"/>
          </w:tcPr>
          <w:p w14:paraId="7FA5B1A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微信号</w:t>
            </w:r>
          </w:p>
        </w:tc>
        <w:tc>
          <w:tcPr>
            <w:tcW w:w="2525" w:type="dxa"/>
            <w:gridSpan w:val="2"/>
            <w:tcBorders>
              <w:top w:val="nil"/>
              <w:left w:val="nil"/>
              <w:bottom w:val="single" w:color="auto" w:sz="4" w:space="0"/>
              <w:right w:val="single" w:color="auto" w:sz="4" w:space="0"/>
            </w:tcBorders>
            <w:shd w:val="clear" w:color="auto" w:fill="auto"/>
            <w:noWrap/>
            <w:vAlign w:val="center"/>
          </w:tcPr>
          <w:p w14:paraId="63824F62">
            <w:pPr>
              <w:widowControl/>
              <w:jc w:val="center"/>
              <w:rPr>
                <w:rFonts w:hint="default" w:ascii="仿宋" w:hAnsi="仿宋" w:eastAsia="仿宋" w:cs="宋体"/>
                <w:color w:val="000000"/>
                <w:kern w:val="0"/>
                <w:sz w:val="24"/>
                <w:szCs w:val="24"/>
                <w:lang w:val="en-US" w:eastAsia="zh-CN"/>
              </w:rPr>
            </w:pPr>
          </w:p>
        </w:tc>
      </w:tr>
      <w:tr w14:paraId="2C0E549E">
        <w:tblPrEx>
          <w:tblCellMar>
            <w:top w:w="0" w:type="dxa"/>
            <w:left w:w="108" w:type="dxa"/>
            <w:bottom w:w="0" w:type="dxa"/>
            <w:right w:w="108" w:type="dxa"/>
          </w:tblCellMar>
        </w:tblPrEx>
        <w:trPr>
          <w:trHeight w:val="569" w:hRule="atLeast"/>
          <w:jc w:val="center"/>
        </w:trPr>
        <w:tc>
          <w:tcPr>
            <w:tcW w:w="1316" w:type="dxa"/>
            <w:vMerge w:val="restart"/>
            <w:tcBorders>
              <w:top w:val="nil"/>
              <w:left w:val="single" w:color="auto" w:sz="4" w:space="0"/>
              <w:right w:val="single" w:color="auto" w:sz="4" w:space="0"/>
            </w:tcBorders>
            <w:shd w:val="clear" w:color="auto" w:fill="auto"/>
            <w:vAlign w:val="center"/>
          </w:tcPr>
          <w:p w14:paraId="01354D5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联络员</w:t>
            </w:r>
          </w:p>
          <w:p w14:paraId="72B05EB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微信群</w:t>
            </w:r>
          </w:p>
          <w:p w14:paraId="596ACDC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联络信息</w:t>
            </w:r>
          </w:p>
          <w:p w14:paraId="3CF4215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(必填)</w:t>
            </w:r>
          </w:p>
        </w:tc>
        <w:tc>
          <w:tcPr>
            <w:tcW w:w="1003" w:type="dxa"/>
            <w:vMerge w:val="restart"/>
            <w:tcBorders>
              <w:top w:val="single" w:color="auto" w:sz="4" w:space="0"/>
              <w:left w:val="nil"/>
              <w:right w:val="single" w:color="auto" w:sz="4" w:space="0"/>
            </w:tcBorders>
            <w:vAlign w:val="center"/>
          </w:tcPr>
          <w:p w14:paraId="4BF66A4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联络员</w:t>
            </w:r>
          </w:p>
          <w:p w14:paraId="3748F83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A</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D1E4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1689" w:type="dxa"/>
            <w:tcBorders>
              <w:top w:val="nil"/>
              <w:left w:val="nil"/>
              <w:bottom w:val="single" w:color="auto" w:sz="4" w:space="0"/>
              <w:right w:val="single" w:color="auto" w:sz="4" w:space="0"/>
            </w:tcBorders>
            <w:shd w:val="clear" w:color="auto" w:fill="auto"/>
            <w:vAlign w:val="center"/>
          </w:tcPr>
          <w:p w14:paraId="7C671637">
            <w:pPr>
              <w:widowControl/>
              <w:jc w:val="center"/>
              <w:rPr>
                <w:rFonts w:hint="eastAsia" w:ascii="仿宋" w:hAnsi="仿宋" w:eastAsia="仿宋" w:cs="宋体"/>
                <w:color w:val="000000"/>
                <w:kern w:val="0"/>
                <w:sz w:val="24"/>
                <w:szCs w:val="24"/>
                <w:lang w:val="en-US" w:eastAsia="zh-CN"/>
              </w:rPr>
            </w:pPr>
          </w:p>
        </w:tc>
        <w:tc>
          <w:tcPr>
            <w:tcW w:w="2307" w:type="dxa"/>
            <w:gridSpan w:val="2"/>
            <w:tcBorders>
              <w:top w:val="nil"/>
              <w:left w:val="nil"/>
              <w:bottom w:val="single" w:color="auto" w:sz="4" w:space="0"/>
              <w:right w:val="single" w:color="auto" w:sz="4" w:space="0"/>
            </w:tcBorders>
            <w:shd w:val="clear" w:color="auto" w:fill="auto"/>
            <w:noWrap/>
            <w:vAlign w:val="center"/>
          </w:tcPr>
          <w:p w14:paraId="653860B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手机及座机</w:t>
            </w:r>
          </w:p>
        </w:tc>
        <w:tc>
          <w:tcPr>
            <w:tcW w:w="2525" w:type="dxa"/>
            <w:gridSpan w:val="2"/>
            <w:tcBorders>
              <w:top w:val="nil"/>
              <w:left w:val="nil"/>
              <w:bottom w:val="single" w:color="auto" w:sz="4" w:space="0"/>
              <w:right w:val="single" w:color="auto" w:sz="4" w:space="0"/>
            </w:tcBorders>
            <w:shd w:val="clear" w:color="auto" w:fill="auto"/>
            <w:noWrap/>
            <w:vAlign w:val="center"/>
          </w:tcPr>
          <w:p w14:paraId="08FA21E2">
            <w:pPr>
              <w:widowControl/>
              <w:jc w:val="center"/>
              <w:rPr>
                <w:rFonts w:hint="default" w:ascii="仿宋" w:hAnsi="仿宋" w:eastAsia="仿宋" w:cs="宋体"/>
                <w:color w:val="000000"/>
                <w:kern w:val="0"/>
                <w:sz w:val="24"/>
                <w:szCs w:val="24"/>
                <w:lang w:val="en-US" w:eastAsia="zh-CN"/>
              </w:rPr>
            </w:pPr>
          </w:p>
        </w:tc>
      </w:tr>
      <w:tr w14:paraId="02B81544">
        <w:tblPrEx>
          <w:tblCellMar>
            <w:top w:w="0" w:type="dxa"/>
            <w:left w:w="108" w:type="dxa"/>
            <w:bottom w:w="0" w:type="dxa"/>
            <w:right w:w="108" w:type="dxa"/>
          </w:tblCellMar>
        </w:tblPrEx>
        <w:trPr>
          <w:trHeight w:val="550" w:hRule="atLeast"/>
          <w:jc w:val="center"/>
        </w:trPr>
        <w:tc>
          <w:tcPr>
            <w:tcW w:w="1316" w:type="dxa"/>
            <w:vMerge w:val="continue"/>
            <w:tcBorders>
              <w:left w:val="single" w:color="auto" w:sz="4" w:space="0"/>
              <w:right w:val="single" w:color="auto" w:sz="4" w:space="0"/>
            </w:tcBorders>
            <w:shd w:val="clear" w:color="auto" w:fill="auto"/>
            <w:vAlign w:val="center"/>
          </w:tcPr>
          <w:p w14:paraId="658BAC6E">
            <w:pPr>
              <w:widowControl/>
              <w:jc w:val="center"/>
              <w:rPr>
                <w:rFonts w:ascii="仿宋" w:hAnsi="仿宋" w:eastAsia="仿宋" w:cs="宋体"/>
                <w:color w:val="000000"/>
                <w:kern w:val="0"/>
                <w:sz w:val="24"/>
                <w:szCs w:val="24"/>
              </w:rPr>
            </w:pPr>
          </w:p>
        </w:tc>
        <w:tc>
          <w:tcPr>
            <w:tcW w:w="1003" w:type="dxa"/>
            <w:vMerge w:val="continue"/>
            <w:tcBorders>
              <w:left w:val="nil"/>
              <w:bottom w:val="single" w:color="auto" w:sz="4" w:space="0"/>
              <w:right w:val="single" w:color="auto" w:sz="4" w:space="0"/>
            </w:tcBorders>
          </w:tcPr>
          <w:p w14:paraId="31FBE01B">
            <w:pPr>
              <w:widowControl/>
              <w:jc w:val="center"/>
              <w:rPr>
                <w:rFonts w:ascii="仿宋" w:hAnsi="仿宋" w:eastAsia="仿宋"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3612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部门及职务</w:t>
            </w:r>
          </w:p>
        </w:tc>
        <w:tc>
          <w:tcPr>
            <w:tcW w:w="1689" w:type="dxa"/>
            <w:tcBorders>
              <w:top w:val="nil"/>
              <w:left w:val="nil"/>
              <w:bottom w:val="single" w:color="auto" w:sz="4" w:space="0"/>
              <w:right w:val="single" w:color="auto" w:sz="4" w:space="0"/>
            </w:tcBorders>
            <w:shd w:val="clear" w:color="auto" w:fill="auto"/>
            <w:vAlign w:val="center"/>
          </w:tcPr>
          <w:p w14:paraId="6D0227AE">
            <w:pPr>
              <w:widowControl/>
              <w:jc w:val="center"/>
              <w:rPr>
                <w:rFonts w:hint="eastAsia" w:ascii="仿宋" w:hAnsi="仿宋" w:eastAsia="仿宋" w:cs="宋体"/>
                <w:color w:val="000000"/>
                <w:kern w:val="0"/>
                <w:sz w:val="24"/>
                <w:szCs w:val="24"/>
                <w:lang w:val="en-US" w:eastAsia="zh-CN"/>
              </w:rPr>
            </w:pPr>
          </w:p>
        </w:tc>
        <w:tc>
          <w:tcPr>
            <w:tcW w:w="2307" w:type="dxa"/>
            <w:gridSpan w:val="2"/>
            <w:tcBorders>
              <w:top w:val="nil"/>
              <w:left w:val="nil"/>
              <w:bottom w:val="single" w:color="auto" w:sz="4" w:space="0"/>
              <w:right w:val="single" w:color="auto" w:sz="4" w:space="0"/>
            </w:tcBorders>
            <w:shd w:val="clear" w:color="auto" w:fill="auto"/>
            <w:noWrap/>
            <w:vAlign w:val="center"/>
          </w:tcPr>
          <w:p w14:paraId="53AAD59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微信号</w:t>
            </w:r>
          </w:p>
        </w:tc>
        <w:tc>
          <w:tcPr>
            <w:tcW w:w="2525" w:type="dxa"/>
            <w:gridSpan w:val="2"/>
            <w:tcBorders>
              <w:top w:val="nil"/>
              <w:left w:val="nil"/>
              <w:bottom w:val="single" w:color="auto" w:sz="4" w:space="0"/>
              <w:right w:val="single" w:color="auto" w:sz="4" w:space="0"/>
            </w:tcBorders>
            <w:shd w:val="clear" w:color="auto" w:fill="auto"/>
            <w:noWrap/>
            <w:vAlign w:val="center"/>
          </w:tcPr>
          <w:p w14:paraId="3A07D12B">
            <w:pPr>
              <w:widowControl/>
              <w:jc w:val="center"/>
              <w:rPr>
                <w:rFonts w:hint="eastAsia" w:ascii="仿宋" w:hAnsi="仿宋" w:eastAsia="仿宋" w:cs="宋体"/>
                <w:color w:val="000000"/>
                <w:kern w:val="0"/>
                <w:sz w:val="24"/>
                <w:szCs w:val="24"/>
                <w:lang w:val="en-US" w:eastAsia="zh-CN"/>
              </w:rPr>
            </w:pPr>
          </w:p>
        </w:tc>
      </w:tr>
      <w:tr w14:paraId="431BB7C3">
        <w:tblPrEx>
          <w:tblCellMar>
            <w:top w:w="0" w:type="dxa"/>
            <w:left w:w="108" w:type="dxa"/>
            <w:bottom w:w="0" w:type="dxa"/>
            <w:right w:w="108" w:type="dxa"/>
          </w:tblCellMar>
        </w:tblPrEx>
        <w:trPr>
          <w:trHeight w:val="701" w:hRule="atLeast"/>
          <w:jc w:val="center"/>
        </w:trPr>
        <w:tc>
          <w:tcPr>
            <w:tcW w:w="1316" w:type="dxa"/>
            <w:vMerge w:val="continue"/>
            <w:tcBorders>
              <w:left w:val="single" w:color="auto" w:sz="4" w:space="0"/>
              <w:right w:val="single" w:color="auto" w:sz="4" w:space="0"/>
            </w:tcBorders>
            <w:shd w:val="clear" w:color="auto" w:fill="auto"/>
            <w:vAlign w:val="center"/>
          </w:tcPr>
          <w:p w14:paraId="26C57C2A">
            <w:pPr>
              <w:widowControl/>
              <w:jc w:val="center"/>
              <w:rPr>
                <w:rFonts w:ascii="仿宋" w:hAnsi="仿宋" w:eastAsia="仿宋" w:cs="宋体"/>
                <w:color w:val="000000"/>
                <w:kern w:val="0"/>
                <w:sz w:val="24"/>
                <w:szCs w:val="24"/>
              </w:rPr>
            </w:pPr>
          </w:p>
        </w:tc>
        <w:tc>
          <w:tcPr>
            <w:tcW w:w="1003" w:type="dxa"/>
            <w:vMerge w:val="restart"/>
            <w:tcBorders>
              <w:top w:val="single" w:color="auto" w:sz="4" w:space="0"/>
              <w:left w:val="nil"/>
              <w:right w:val="single" w:color="auto" w:sz="4" w:space="0"/>
            </w:tcBorders>
            <w:vAlign w:val="center"/>
          </w:tcPr>
          <w:p w14:paraId="396608A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联络员</w:t>
            </w:r>
          </w:p>
          <w:p w14:paraId="34B71CB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B</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EEB6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1689" w:type="dxa"/>
            <w:tcBorders>
              <w:top w:val="single" w:color="auto" w:sz="4" w:space="0"/>
              <w:left w:val="nil"/>
              <w:bottom w:val="single" w:color="auto" w:sz="4" w:space="0"/>
              <w:right w:val="single" w:color="auto" w:sz="4" w:space="0"/>
            </w:tcBorders>
            <w:shd w:val="clear" w:color="auto" w:fill="auto"/>
            <w:vAlign w:val="center"/>
          </w:tcPr>
          <w:p w14:paraId="5441DDCF">
            <w:pPr>
              <w:widowControl/>
              <w:jc w:val="center"/>
              <w:rPr>
                <w:rFonts w:hint="eastAsia" w:ascii="仿宋" w:hAnsi="仿宋" w:eastAsia="仿宋" w:cs="宋体"/>
                <w:color w:val="000000"/>
                <w:kern w:val="0"/>
                <w:sz w:val="24"/>
                <w:szCs w:val="24"/>
                <w:lang w:val="en-US" w:eastAsia="zh-CN"/>
              </w:rPr>
            </w:pPr>
          </w:p>
        </w:tc>
        <w:tc>
          <w:tcPr>
            <w:tcW w:w="2307" w:type="dxa"/>
            <w:gridSpan w:val="2"/>
            <w:tcBorders>
              <w:top w:val="single" w:color="auto" w:sz="4" w:space="0"/>
              <w:left w:val="nil"/>
              <w:bottom w:val="single" w:color="auto" w:sz="4" w:space="0"/>
              <w:right w:val="single" w:color="auto" w:sz="4" w:space="0"/>
            </w:tcBorders>
            <w:shd w:val="clear" w:color="auto" w:fill="auto"/>
            <w:noWrap/>
            <w:vAlign w:val="center"/>
          </w:tcPr>
          <w:p w14:paraId="5CA42D0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手机及座机</w:t>
            </w:r>
          </w:p>
        </w:tc>
        <w:tc>
          <w:tcPr>
            <w:tcW w:w="2525" w:type="dxa"/>
            <w:gridSpan w:val="2"/>
            <w:tcBorders>
              <w:top w:val="single" w:color="auto" w:sz="4" w:space="0"/>
              <w:left w:val="nil"/>
              <w:bottom w:val="single" w:color="auto" w:sz="4" w:space="0"/>
              <w:right w:val="single" w:color="auto" w:sz="4" w:space="0"/>
            </w:tcBorders>
            <w:shd w:val="clear" w:color="auto" w:fill="auto"/>
            <w:noWrap/>
            <w:vAlign w:val="center"/>
          </w:tcPr>
          <w:p w14:paraId="7E0F5D3A">
            <w:pPr>
              <w:widowControl/>
              <w:jc w:val="center"/>
              <w:rPr>
                <w:rFonts w:hint="default" w:ascii="仿宋" w:hAnsi="仿宋" w:eastAsia="仿宋" w:cs="宋体"/>
                <w:color w:val="000000"/>
                <w:kern w:val="0"/>
                <w:sz w:val="24"/>
                <w:szCs w:val="24"/>
                <w:lang w:val="en-US" w:eastAsia="zh-CN"/>
              </w:rPr>
            </w:pPr>
          </w:p>
        </w:tc>
      </w:tr>
      <w:tr w14:paraId="43299C32">
        <w:tblPrEx>
          <w:tblCellMar>
            <w:top w:w="0" w:type="dxa"/>
            <w:left w:w="108" w:type="dxa"/>
            <w:bottom w:w="0" w:type="dxa"/>
            <w:right w:w="108" w:type="dxa"/>
          </w:tblCellMar>
        </w:tblPrEx>
        <w:trPr>
          <w:trHeight w:val="698" w:hRule="atLeast"/>
          <w:jc w:val="center"/>
        </w:trPr>
        <w:tc>
          <w:tcPr>
            <w:tcW w:w="1316" w:type="dxa"/>
            <w:vMerge w:val="continue"/>
            <w:tcBorders>
              <w:left w:val="single" w:color="auto" w:sz="4" w:space="0"/>
              <w:bottom w:val="single" w:color="auto" w:sz="4" w:space="0"/>
              <w:right w:val="single" w:color="auto" w:sz="4" w:space="0"/>
            </w:tcBorders>
            <w:shd w:val="clear" w:color="auto" w:fill="auto"/>
            <w:vAlign w:val="center"/>
          </w:tcPr>
          <w:p w14:paraId="1200132E">
            <w:pPr>
              <w:widowControl/>
              <w:rPr>
                <w:rFonts w:ascii="仿宋" w:hAnsi="仿宋" w:eastAsia="仿宋" w:cs="宋体"/>
                <w:color w:val="000000"/>
                <w:kern w:val="0"/>
                <w:sz w:val="24"/>
                <w:szCs w:val="24"/>
              </w:rPr>
            </w:pPr>
          </w:p>
        </w:tc>
        <w:tc>
          <w:tcPr>
            <w:tcW w:w="1003" w:type="dxa"/>
            <w:vMerge w:val="continue"/>
            <w:tcBorders>
              <w:left w:val="nil"/>
              <w:bottom w:val="single" w:color="auto" w:sz="4" w:space="0"/>
              <w:right w:val="single" w:color="auto" w:sz="4" w:space="0"/>
            </w:tcBorders>
          </w:tcPr>
          <w:p w14:paraId="69FFC9D0">
            <w:pPr>
              <w:widowControl/>
              <w:jc w:val="center"/>
              <w:rPr>
                <w:rFonts w:ascii="仿宋" w:hAnsi="仿宋" w:eastAsia="仿宋" w:cs="宋体"/>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7769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部门及职务</w:t>
            </w:r>
          </w:p>
        </w:tc>
        <w:tc>
          <w:tcPr>
            <w:tcW w:w="1689" w:type="dxa"/>
            <w:tcBorders>
              <w:top w:val="single" w:color="auto" w:sz="4" w:space="0"/>
              <w:left w:val="nil"/>
              <w:bottom w:val="single" w:color="auto" w:sz="4" w:space="0"/>
              <w:right w:val="single" w:color="auto" w:sz="4" w:space="0"/>
            </w:tcBorders>
            <w:shd w:val="clear" w:color="auto" w:fill="auto"/>
            <w:vAlign w:val="center"/>
          </w:tcPr>
          <w:p w14:paraId="09A2D426">
            <w:pPr>
              <w:widowControl/>
              <w:jc w:val="center"/>
              <w:rPr>
                <w:rFonts w:hint="eastAsia" w:ascii="仿宋" w:hAnsi="仿宋" w:eastAsia="仿宋" w:cs="宋体"/>
                <w:color w:val="000000"/>
                <w:kern w:val="0"/>
                <w:sz w:val="24"/>
                <w:szCs w:val="24"/>
                <w:lang w:val="en-US" w:eastAsia="zh-CN"/>
              </w:rPr>
            </w:pPr>
          </w:p>
        </w:tc>
        <w:tc>
          <w:tcPr>
            <w:tcW w:w="2307" w:type="dxa"/>
            <w:gridSpan w:val="2"/>
            <w:tcBorders>
              <w:top w:val="single" w:color="auto" w:sz="4" w:space="0"/>
              <w:left w:val="nil"/>
              <w:bottom w:val="single" w:color="auto" w:sz="4" w:space="0"/>
              <w:right w:val="single" w:color="auto" w:sz="4" w:space="0"/>
            </w:tcBorders>
            <w:shd w:val="clear" w:color="auto" w:fill="auto"/>
            <w:noWrap/>
            <w:vAlign w:val="center"/>
          </w:tcPr>
          <w:p w14:paraId="7ECFAB9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微信号</w:t>
            </w:r>
          </w:p>
        </w:tc>
        <w:tc>
          <w:tcPr>
            <w:tcW w:w="2525" w:type="dxa"/>
            <w:gridSpan w:val="2"/>
            <w:tcBorders>
              <w:top w:val="single" w:color="auto" w:sz="4" w:space="0"/>
              <w:left w:val="nil"/>
              <w:bottom w:val="single" w:color="auto" w:sz="4" w:space="0"/>
              <w:right w:val="single" w:color="auto" w:sz="4" w:space="0"/>
            </w:tcBorders>
            <w:shd w:val="clear" w:color="auto" w:fill="auto"/>
            <w:noWrap/>
            <w:vAlign w:val="center"/>
          </w:tcPr>
          <w:p w14:paraId="70366410">
            <w:pPr>
              <w:widowControl/>
              <w:jc w:val="center"/>
              <w:rPr>
                <w:rFonts w:hint="default" w:ascii="仿宋" w:hAnsi="仿宋" w:eastAsia="仿宋" w:cs="宋体"/>
                <w:color w:val="000000"/>
                <w:kern w:val="0"/>
                <w:sz w:val="24"/>
                <w:szCs w:val="24"/>
                <w:lang w:val="en-US" w:eastAsia="zh-CN"/>
              </w:rPr>
            </w:pPr>
          </w:p>
        </w:tc>
      </w:tr>
    </w:tbl>
    <w:p w14:paraId="74FBADCF">
      <w:pPr>
        <w:widowControl/>
        <w:rPr>
          <w:rFonts w:ascii="仿宋" w:hAnsi="仿宋" w:eastAsia="仿宋" w:cs="宋体"/>
          <w:b/>
          <w:color w:val="000000"/>
          <w:kern w:val="0"/>
          <w:sz w:val="24"/>
          <w:szCs w:val="24"/>
        </w:rPr>
      </w:pPr>
      <w:r>
        <w:rPr>
          <w:rFonts w:hint="eastAsia" w:ascii="仿宋" w:hAnsi="仿宋" w:eastAsia="仿宋"/>
          <w:sz w:val="28"/>
          <w:szCs w:val="28"/>
        </w:rPr>
        <w:t xml:space="preserve">附件三：                  </w:t>
      </w:r>
    </w:p>
    <w:p w14:paraId="69695BFC">
      <w:pPr>
        <w:widowControl/>
        <w:jc w:val="center"/>
        <w:rPr>
          <w:rFonts w:ascii="黑体" w:hAnsi="黑体" w:eastAsia="黑体"/>
          <w:sz w:val="44"/>
          <w:szCs w:val="44"/>
        </w:rPr>
      </w:pPr>
      <w:r>
        <w:rPr>
          <w:rFonts w:hint="eastAsia" w:ascii="黑体" w:hAnsi="黑体" w:eastAsia="黑体"/>
          <w:sz w:val="44"/>
          <w:szCs w:val="44"/>
          <w:lang w:val="en-US" w:eastAsia="zh-CN"/>
        </w:rPr>
        <w:t>陕西省</w:t>
      </w:r>
      <w:r>
        <w:rPr>
          <w:rFonts w:hint="eastAsia" w:ascii="黑体" w:hAnsi="黑体" w:eastAsia="黑体"/>
          <w:sz w:val="44"/>
          <w:szCs w:val="44"/>
        </w:rPr>
        <w:t>融资担保业协会会员简介</w:t>
      </w:r>
    </w:p>
    <w:tbl>
      <w:tblPr>
        <w:tblStyle w:val="5"/>
        <w:tblpPr w:leftFromText="180" w:rightFromText="180" w:vertAnchor="text" w:horzAnchor="page" w:tblpX="1380" w:tblpY="543"/>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14:paraId="5EB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9" w:hRule="atLeast"/>
        </w:trPr>
        <w:tc>
          <w:tcPr>
            <w:tcW w:w="9215" w:type="dxa"/>
          </w:tcPr>
          <w:p w14:paraId="2A37C67E">
            <w:pPr>
              <w:widowControl/>
              <w:jc w:val="left"/>
              <w:rPr>
                <w:rFonts w:ascii="仿宋" w:hAnsi="仿宋" w:eastAsia="仿宋"/>
                <w:sz w:val="30"/>
                <w:szCs w:val="30"/>
              </w:rPr>
            </w:pPr>
          </w:p>
          <w:p w14:paraId="5EF17FF2">
            <w:pPr>
              <w:widowControl/>
              <w:jc w:val="left"/>
              <w:rPr>
                <w:rFonts w:ascii="仿宋" w:hAnsi="仿宋" w:eastAsia="仿宋"/>
                <w:sz w:val="30"/>
                <w:szCs w:val="30"/>
              </w:rPr>
            </w:pPr>
          </w:p>
          <w:p w14:paraId="1EF661CA">
            <w:pPr>
              <w:widowControl/>
              <w:jc w:val="left"/>
              <w:rPr>
                <w:rFonts w:ascii="仿宋" w:hAnsi="仿宋" w:eastAsia="仿宋"/>
                <w:sz w:val="30"/>
                <w:szCs w:val="30"/>
              </w:rPr>
            </w:pPr>
          </w:p>
          <w:p w14:paraId="37C48926">
            <w:pPr>
              <w:widowControl/>
              <w:rPr>
                <w:rFonts w:ascii="黑体" w:hAnsi="黑体" w:eastAsia="黑体"/>
                <w:sz w:val="44"/>
                <w:szCs w:val="44"/>
              </w:rPr>
            </w:pPr>
          </w:p>
          <w:p w14:paraId="0FF501B2">
            <w:pPr>
              <w:widowControl/>
              <w:jc w:val="left"/>
              <w:rPr>
                <w:rFonts w:hint="default" w:ascii="仿宋" w:hAnsi="仿宋" w:eastAsia="仿宋"/>
                <w:sz w:val="30"/>
                <w:szCs w:val="30"/>
                <w:lang w:val="en-US" w:eastAsia="zh-CN"/>
              </w:rPr>
            </w:pPr>
            <w:r>
              <w:rPr>
                <w:rFonts w:hint="eastAsia" w:ascii="黑体" w:hAnsi="黑体" w:eastAsia="黑体"/>
                <w:sz w:val="44"/>
                <w:szCs w:val="44"/>
              </w:rPr>
              <w:t xml:space="preserve">                         </w:t>
            </w:r>
          </w:p>
          <w:p w14:paraId="25F43481">
            <w:pPr>
              <w:widowControl/>
              <w:jc w:val="left"/>
              <w:rPr>
                <w:rFonts w:ascii="仿宋" w:hAnsi="仿宋" w:eastAsia="仿宋"/>
                <w:sz w:val="28"/>
                <w:szCs w:val="28"/>
              </w:rPr>
            </w:pPr>
            <w:r>
              <w:rPr>
                <w:rFonts w:hint="eastAsia" w:ascii="仿宋" w:hAnsi="仿宋" w:eastAsia="仿宋"/>
                <w:sz w:val="30"/>
                <w:szCs w:val="30"/>
              </w:rPr>
              <w:t xml:space="preserve">                                           </w:t>
            </w:r>
            <w:r>
              <w:rPr>
                <w:rFonts w:hint="eastAsia" w:ascii="仿宋" w:hAnsi="仿宋" w:eastAsia="仿宋"/>
                <w:sz w:val="28"/>
                <w:szCs w:val="28"/>
              </w:rPr>
              <w:t xml:space="preserve">                                    </w:t>
            </w:r>
          </w:p>
        </w:tc>
      </w:tr>
    </w:tbl>
    <w:p w14:paraId="5EF55B01">
      <w:pPr>
        <w:tabs>
          <w:tab w:val="left" w:pos="1365"/>
        </w:tabs>
        <w:spacing w:line="0" w:lineRule="atLeast"/>
        <w:sectPr>
          <w:footerReference r:id="rId3" w:type="default"/>
          <w:pgSz w:w="11906" w:h="16838"/>
          <w:pgMar w:top="1440" w:right="1418" w:bottom="1440" w:left="1418" w:header="851" w:footer="992" w:gutter="0"/>
          <w:cols w:space="425" w:num="1"/>
          <w:docGrid w:type="linesAndChars" w:linePitch="312" w:charSpace="0"/>
        </w:sectPr>
      </w:pPr>
    </w:p>
    <w:p w14:paraId="0F6A2996">
      <w:pPr>
        <w:widowControl/>
        <w:rPr>
          <w:rFonts w:hint="default" w:ascii="仿宋" w:hAnsi="仿宋" w:eastAsia="仿宋"/>
          <w:sz w:val="28"/>
          <w:szCs w:val="28"/>
          <w:lang w:val="en-US" w:eastAsia="zh-CN"/>
        </w:rPr>
      </w:pPr>
      <w:r>
        <w:rPr>
          <w:rFonts w:hint="eastAsia" w:ascii="仿宋" w:hAnsi="仿宋" w:eastAsia="仿宋"/>
          <w:sz w:val="28"/>
          <w:szCs w:val="28"/>
          <w:lang w:val="en-US" w:eastAsia="zh-CN"/>
        </w:rPr>
        <w:t>附件四：</w:t>
      </w:r>
    </w:p>
    <w:p w14:paraId="6F542C15">
      <w:pPr>
        <w:jc w:val="center"/>
        <w:rPr>
          <w:rStyle w:val="7"/>
          <w:rFonts w:hint="eastAsia" w:ascii="宋体" w:hAnsi="宋体"/>
          <w:color w:val="333333"/>
          <w:sz w:val="44"/>
          <w:szCs w:val="44"/>
        </w:rPr>
      </w:pPr>
    </w:p>
    <w:p w14:paraId="2C200697">
      <w:pPr>
        <w:jc w:val="center"/>
        <w:rPr>
          <w:rFonts w:ascii="宋体" w:hAnsi="宋体"/>
          <w:sz w:val="44"/>
          <w:szCs w:val="44"/>
        </w:rPr>
      </w:pPr>
      <w:r>
        <w:rPr>
          <w:rStyle w:val="7"/>
          <w:rFonts w:hint="eastAsia" w:ascii="宋体" w:hAnsi="宋体"/>
          <w:color w:val="333333"/>
          <w:sz w:val="44"/>
          <w:szCs w:val="44"/>
        </w:rPr>
        <w:t>陕西省融资担保业协会章程</w:t>
      </w:r>
    </w:p>
    <w:p w14:paraId="1950BA17">
      <w:pPr>
        <w:rPr>
          <w:rFonts w:ascii="仿宋" w:hAnsi="仿宋" w:eastAsia="仿宋"/>
          <w:sz w:val="32"/>
          <w:szCs w:val="32"/>
        </w:rPr>
      </w:pPr>
    </w:p>
    <w:p w14:paraId="404EB3DF">
      <w:pPr>
        <w:pStyle w:val="8"/>
        <w:numPr>
          <w:ilvl w:val="0"/>
          <w:numId w:val="1"/>
        </w:numPr>
        <w:ind w:firstLineChars="0"/>
        <w:jc w:val="center"/>
        <w:rPr>
          <w:rFonts w:ascii="仿宋" w:hAnsi="仿宋" w:eastAsia="仿宋"/>
          <w:b/>
          <w:sz w:val="32"/>
          <w:szCs w:val="32"/>
        </w:rPr>
      </w:pPr>
      <w:r>
        <w:rPr>
          <w:rFonts w:ascii="仿宋" w:hAnsi="仿宋" w:eastAsia="仿宋"/>
          <w:b/>
          <w:sz w:val="32"/>
          <w:szCs w:val="32"/>
        </w:rPr>
        <w:t>总则</w:t>
      </w:r>
    </w:p>
    <w:p w14:paraId="5419FB34">
      <w:pPr>
        <w:pStyle w:val="8"/>
        <w:numPr>
          <w:ilvl w:val="0"/>
          <w:numId w:val="2"/>
        </w:numPr>
        <w:ind w:firstLineChars="0"/>
        <w:rPr>
          <w:rFonts w:ascii="仿宋" w:hAnsi="仿宋" w:eastAsia="仿宋"/>
          <w:sz w:val="32"/>
          <w:szCs w:val="32"/>
        </w:rPr>
      </w:pPr>
      <w:r>
        <w:rPr>
          <w:rFonts w:hint="eastAsia" w:ascii="仿宋" w:hAnsi="仿宋" w:eastAsia="仿宋"/>
          <w:sz w:val="32"/>
          <w:szCs w:val="32"/>
        </w:rPr>
        <w:t xml:space="preserve"> 团体名称为</w:t>
      </w:r>
      <w:r>
        <w:rPr>
          <w:rFonts w:hint="eastAsia" w:ascii="仿宋" w:hAnsi="仿宋" w:eastAsia="仿宋" w:cs="楷体"/>
          <w:color w:val="333333"/>
          <w:kern w:val="0"/>
          <w:sz w:val="32"/>
          <w:szCs w:val="32"/>
          <w:shd w:val="clear" w:color="auto" w:fill="FFFFFF"/>
        </w:rPr>
        <w:t>陕西省融资担保业协会</w:t>
      </w:r>
      <w:r>
        <w:rPr>
          <w:rFonts w:hint="eastAsia" w:ascii="仿宋" w:hAnsi="仿宋" w:eastAsia="仿宋" w:cs="楷体"/>
          <w:color w:val="333333"/>
          <w:kern w:val="0"/>
          <w:sz w:val="32"/>
          <w:szCs w:val="32"/>
          <w:shd w:val="clear" w:color="auto" w:fill="FFFFFF"/>
          <w:lang w:eastAsia="zh-CN"/>
        </w:rPr>
        <w:t>；</w:t>
      </w:r>
      <w:r>
        <w:rPr>
          <w:rFonts w:hint="eastAsia" w:ascii="仿宋" w:hAnsi="仿宋" w:eastAsia="仿宋" w:cs="楷体"/>
          <w:color w:val="333333"/>
          <w:kern w:val="0"/>
          <w:sz w:val="32"/>
          <w:szCs w:val="32"/>
          <w:shd w:val="clear" w:color="auto" w:fill="FFFFFF"/>
          <w:lang w:val="en-US" w:eastAsia="zh-CN"/>
        </w:rPr>
        <w:t>英文名称</w:t>
      </w:r>
    </w:p>
    <w:p w14:paraId="647A4DAB">
      <w:pPr>
        <w:pStyle w:val="8"/>
        <w:numPr>
          <w:ilvl w:val="0"/>
          <w:numId w:val="0"/>
        </w:numPr>
        <w:rPr>
          <w:rFonts w:hint="default" w:ascii="仿宋" w:hAnsi="仿宋" w:eastAsia="仿宋"/>
          <w:sz w:val="32"/>
          <w:szCs w:val="32"/>
          <w:lang w:val="en-US" w:eastAsia="zh-CN"/>
        </w:rPr>
      </w:pPr>
      <w:r>
        <w:rPr>
          <w:rFonts w:hint="eastAsia" w:ascii="仿宋" w:hAnsi="仿宋" w:eastAsia="仿宋" w:cs="仿宋"/>
          <w:sz w:val="30"/>
          <w:szCs w:val="30"/>
          <w:lang w:val="en-US" w:eastAsia="zh-CN"/>
        </w:rPr>
        <w:t xml:space="preserve">SHAANXI </w:t>
      </w:r>
      <w:r>
        <w:rPr>
          <w:rFonts w:ascii="仿宋" w:hAnsi="仿宋" w:eastAsia="仿宋" w:cs="仿宋"/>
          <w:sz w:val="30"/>
          <w:szCs w:val="30"/>
        </w:rPr>
        <w:t>FINANCING</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GUARANTEE</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ASSOCIATIO</w:t>
      </w:r>
      <w:r>
        <w:rPr>
          <w:rFonts w:hint="eastAsia" w:ascii="仿宋" w:hAnsi="仿宋" w:eastAsia="仿宋" w:cs="仿宋"/>
          <w:sz w:val="30"/>
          <w:szCs w:val="30"/>
          <w:lang w:val="en-US" w:eastAsia="zh-CN"/>
        </w:rPr>
        <w:t>N，英文缩写为SFGA。</w:t>
      </w:r>
    </w:p>
    <w:p w14:paraId="725729B0">
      <w:pPr>
        <w:pStyle w:val="8"/>
        <w:numPr>
          <w:ilvl w:val="0"/>
          <w:numId w:val="2"/>
        </w:numPr>
        <w:ind w:firstLineChars="0"/>
        <w:rPr>
          <w:rFonts w:ascii="仿宋" w:hAnsi="仿宋" w:eastAsia="仿宋"/>
          <w:sz w:val="32"/>
          <w:szCs w:val="32"/>
        </w:rPr>
      </w:pPr>
      <w:r>
        <w:rPr>
          <w:rFonts w:hint="eastAsia" w:ascii="仿宋" w:hAnsi="仿宋" w:eastAsia="仿宋" w:cs="楷体"/>
          <w:color w:val="333333"/>
          <w:kern w:val="0"/>
          <w:sz w:val="32"/>
          <w:szCs w:val="32"/>
          <w:shd w:val="clear" w:color="auto" w:fill="FFFFFF"/>
        </w:rPr>
        <w:t xml:space="preserve"> 陕西省融资担保业协会</w:t>
      </w:r>
      <w:r>
        <w:rPr>
          <w:rFonts w:hint="eastAsia" w:ascii="仿宋" w:hAnsi="仿宋" w:eastAsia="仿宋"/>
          <w:sz w:val="32"/>
          <w:szCs w:val="32"/>
          <w:highlight w:val="none"/>
          <w:lang w:eastAsia="zh-CN"/>
        </w:rPr>
        <w:t>（</w:t>
      </w:r>
      <w:r>
        <w:rPr>
          <w:rFonts w:hint="eastAsia" w:ascii="仿宋" w:hAnsi="仿宋" w:eastAsia="仿宋"/>
          <w:sz w:val="32"/>
          <w:szCs w:val="32"/>
        </w:rPr>
        <w:t>以下简称“本</w:t>
      </w:r>
      <w:r>
        <w:rPr>
          <w:rFonts w:hint="eastAsia" w:ascii="仿宋" w:hAnsi="仿宋" w:eastAsia="仿宋"/>
          <w:sz w:val="32"/>
          <w:szCs w:val="32"/>
          <w:lang w:val="en-US" w:eastAsia="zh-CN"/>
        </w:rPr>
        <w:t>协会</w:t>
      </w:r>
      <w:r>
        <w:rPr>
          <w:rFonts w:hint="eastAsia" w:ascii="仿宋" w:hAnsi="仿宋" w:eastAsia="仿宋"/>
          <w:sz w:val="32"/>
          <w:szCs w:val="32"/>
        </w:rPr>
        <w:t>”</w:t>
      </w:r>
      <w:r>
        <w:rPr>
          <w:rFonts w:hint="eastAsia" w:ascii="仿宋" w:hAnsi="仿宋" w:eastAsia="仿宋"/>
          <w:sz w:val="32"/>
          <w:szCs w:val="32"/>
          <w:highlight w:val="none"/>
          <w:lang w:eastAsia="zh-CN"/>
        </w:rPr>
        <w:t>）</w:t>
      </w:r>
    </w:p>
    <w:p w14:paraId="7729C0C3">
      <w:pPr>
        <w:rPr>
          <w:rFonts w:hint="eastAsia" w:ascii="仿宋" w:hAnsi="仿宋" w:eastAsia="仿宋"/>
          <w:sz w:val="32"/>
          <w:szCs w:val="32"/>
        </w:rPr>
      </w:pPr>
      <w:r>
        <w:rPr>
          <w:rFonts w:hint="eastAsia" w:ascii="仿宋" w:hAnsi="仿宋" w:eastAsia="仿宋"/>
          <w:sz w:val="32"/>
          <w:szCs w:val="32"/>
        </w:rPr>
        <w:t>是由省内融资担保业企事业法人机构自愿</w:t>
      </w:r>
      <w:r>
        <w:rPr>
          <w:rFonts w:hint="eastAsia" w:ascii="仿宋" w:hAnsi="仿宋" w:eastAsia="仿宋"/>
          <w:sz w:val="32"/>
          <w:szCs w:val="32"/>
          <w:lang w:val="en-US" w:eastAsia="zh-CN"/>
        </w:rPr>
        <w:t>发起</w:t>
      </w:r>
      <w:r>
        <w:rPr>
          <w:rFonts w:hint="eastAsia" w:ascii="仿宋" w:hAnsi="仿宋" w:eastAsia="仿宋"/>
          <w:sz w:val="32"/>
          <w:szCs w:val="32"/>
        </w:rPr>
        <w:t>的全省性</w:t>
      </w:r>
      <w:r>
        <w:rPr>
          <w:rFonts w:hint="eastAsia" w:ascii="仿宋" w:hAnsi="仿宋" w:eastAsia="仿宋"/>
          <w:sz w:val="32"/>
          <w:szCs w:val="32"/>
          <w:lang w:val="en-US" w:eastAsia="zh-CN"/>
        </w:rPr>
        <w:t>行业</w:t>
      </w:r>
      <w:r>
        <w:rPr>
          <w:rFonts w:hint="eastAsia" w:ascii="仿宋" w:hAnsi="仿宋" w:eastAsia="仿宋"/>
          <w:sz w:val="32"/>
          <w:szCs w:val="32"/>
        </w:rPr>
        <w:t>非营利性社会组织。</w:t>
      </w:r>
    </w:p>
    <w:p w14:paraId="2F20A73B">
      <w:pPr>
        <w:pStyle w:val="8"/>
        <w:numPr>
          <w:ilvl w:val="0"/>
          <w:numId w:val="2"/>
        </w:numPr>
        <w:ind w:left="0" w:leftChars="0" w:firstLine="630" w:firstLineChars="0"/>
        <w:jc w:val="both"/>
        <w:rPr>
          <w:rFonts w:ascii="仿宋" w:hAnsi="仿宋" w:eastAsia="仿宋"/>
          <w:sz w:val="32"/>
          <w:szCs w:val="32"/>
        </w:rPr>
      </w:pP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hint="eastAsia" w:ascii="仿宋" w:hAnsi="仿宋" w:eastAsia="仿宋"/>
          <w:sz w:val="32"/>
          <w:szCs w:val="32"/>
        </w:rPr>
        <w:t>的宗旨是：</w:t>
      </w:r>
      <w:r>
        <w:rPr>
          <w:rFonts w:hint="eastAsia" w:ascii="仿宋" w:hAnsi="仿宋" w:eastAsia="仿宋"/>
          <w:sz w:val="32"/>
          <w:szCs w:val="32"/>
          <w:lang w:val="en-US" w:eastAsia="zh-CN"/>
        </w:rPr>
        <w:t>遵守宪法</w:t>
      </w:r>
      <w:r>
        <w:rPr>
          <w:rFonts w:hint="eastAsia" w:ascii="仿宋" w:hAnsi="仿宋" w:eastAsia="仿宋"/>
          <w:sz w:val="32"/>
          <w:szCs w:val="32"/>
        </w:rPr>
        <w:t>、法律、法规和国家政策，践行社会主义核心价值观，遵守社会道德风尚；推进陕西省融资担保行业自律；维护会员利益，提供会员服务，强化组织协调和服务水平，优化会员依法合规经营环境，提高融资担保从业人员素质，引领融资担保行业在支持地方经济发展上发挥积极作用。</w:t>
      </w:r>
    </w:p>
    <w:p w14:paraId="26393212">
      <w:pPr>
        <w:pStyle w:val="8"/>
        <w:numPr>
          <w:ilvl w:val="0"/>
          <w:numId w:val="2"/>
        </w:numPr>
        <w:ind w:left="0" w:leftChars="0" w:firstLine="640" w:firstLineChars="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 xml:space="preserve"> </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color w:val="000000"/>
          <w:sz w:val="32"/>
          <w:szCs w:val="32"/>
          <w:shd w:val="clear" w:color="auto" w:fill="FFFFFF"/>
        </w:rPr>
        <w:t>根据</w:t>
      </w:r>
      <w:r>
        <w:rPr>
          <w:rFonts w:hint="eastAsia" w:ascii="仿宋" w:hAnsi="仿宋" w:eastAsia="仿宋"/>
          <w:color w:val="000000"/>
          <w:sz w:val="32"/>
          <w:szCs w:val="32"/>
          <w:shd w:val="clear" w:color="auto" w:fill="FFFFFF"/>
          <w:lang w:eastAsia="zh-CN"/>
        </w:rPr>
        <w:t>《</w:t>
      </w:r>
      <w:r>
        <w:rPr>
          <w:rFonts w:hint="eastAsia" w:ascii="仿宋" w:hAnsi="仿宋" w:eastAsia="仿宋"/>
          <w:color w:val="000000"/>
          <w:sz w:val="32"/>
          <w:szCs w:val="32"/>
          <w:shd w:val="clear" w:color="auto" w:fill="FFFFFF"/>
        </w:rPr>
        <w:t>中国共产党章程的规定</w:t>
      </w:r>
      <w:r>
        <w:rPr>
          <w:rFonts w:hint="eastAsia" w:ascii="仿宋" w:hAnsi="仿宋" w:eastAsia="仿宋"/>
          <w:color w:val="000000"/>
          <w:sz w:val="32"/>
          <w:szCs w:val="32"/>
          <w:shd w:val="clear" w:color="auto" w:fill="FFFFFF"/>
          <w:lang w:eastAsia="zh-CN"/>
        </w:rPr>
        <w:t>》</w:t>
      </w:r>
      <w:r>
        <w:rPr>
          <w:rFonts w:hint="eastAsia" w:ascii="仿宋" w:hAnsi="仿宋" w:eastAsia="仿宋"/>
          <w:color w:val="000000"/>
          <w:sz w:val="32"/>
          <w:szCs w:val="32"/>
          <w:shd w:val="clear" w:color="auto" w:fill="FFFFFF"/>
        </w:rPr>
        <w:t>，设立中国共产党的组织，开展党的活动，为党组织的活动提供必要条件。</w:t>
      </w:r>
    </w:p>
    <w:p w14:paraId="6503218A">
      <w:pPr>
        <w:numPr>
          <w:ilvl w:val="0"/>
          <w:numId w:val="2"/>
        </w:numPr>
        <w:ind w:left="0" w:leftChars="0" w:firstLine="640" w:firstLineChars="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sz w:val="32"/>
          <w:szCs w:val="32"/>
        </w:rPr>
        <w:t>接受业务主管单位</w:t>
      </w:r>
      <w:r>
        <w:rPr>
          <w:rFonts w:hint="eastAsia" w:ascii="仿宋" w:hAnsi="仿宋" w:eastAsia="仿宋"/>
          <w:sz w:val="32"/>
          <w:szCs w:val="32"/>
          <w:lang w:val="en-US" w:eastAsia="zh-CN"/>
        </w:rPr>
        <w:t>陕西省地方金融监督管理局和登记机关陕西省民政厅</w:t>
      </w:r>
      <w:r>
        <w:rPr>
          <w:rFonts w:hint="eastAsia" w:ascii="仿宋" w:hAnsi="仿宋" w:eastAsia="仿宋"/>
          <w:sz w:val="32"/>
          <w:szCs w:val="32"/>
        </w:rPr>
        <w:t>的业务指导和监督管理。</w:t>
      </w:r>
    </w:p>
    <w:p w14:paraId="1C23A833">
      <w:pPr>
        <w:numPr>
          <w:ilvl w:val="0"/>
          <w:numId w:val="2"/>
        </w:numPr>
        <w:ind w:left="0" w:leftChars="0" w:firstLine="640" w:firstLineChars="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sz w:val="32"/>
          <w:szCs w:val="32"/>
        </w:rPr>
        <w:t>的住所是</w:t>
      </w:r>
      <w:r>
        <w:rPr>
          <w:rFonts w:hint="eastAsia" w:ascii="仿宋" w:hAnsi="仿宋" w:eastAsia="仿宋" w:cs="仿宋_GB2312"/>
          <w:sz w:val="32"/>
          <w:szCs w:val="32"/>
        </w:rPr>
        <w:t>西安市高新区唐延路</w:t>
      </w:r>
      <w:r>
        <w:rPr>
          <w:rFonts w:hint="eastAsia" w:ascii="仿宋" w:hAnsi="仿宋" w:eastAsia="仿宋" w:cs="仿宋_GB2312"/>
          <w:sz w:val="32"/>
          <w:szCs w:val="32"/>
          <w:lang w:val="en-US" w:eastAsia="zh-CN"/>
        </w:rPr>
        <w:t>1号</w:t>
      </w:r>
      <w:r>
        <w:rPr>
          <w:rFonts w:hint="eastAsia" w:ascii="仿宋" w:hAnsi="仿宋" w:eastAsia="仿宋" w:cs="仿宋_GB2312"/>
          <w:sz w:val="32"/>
          <w:szCs w:val="32"/>
        </w:rPr>
        <w:t>旺座国际B座2</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层</w:t>
      </w:r>
      <w:r>
        <w:rPr>
          <w:rFonts w:hint="eastAsia" w:ascii="仿宋" w:hAnsi="仿宋" w:eastAsia="仿宋"/>
          <w:sz w:val="32"/>
          <w:szCs w:val="32"/>
        </w:rPr>
        <w:t>。</w:t>
      </w:r>
    </w:p>
    <w:p w14:paraId="4F4B6768">
      <w:pPr>
        <w:pStyle w:val="8"/>
        <w:numPr>
          <w:ilvl w:val="0"/>
          <w:numId w:val="1"/>
        </w:numPr>
        <w:ind w:firstLineChars="0"/>
        <w:jc w:val="center"/>
        <w:rPr>
          <w:rFonts w:ascii="仿宋" w:hAnsi="仿宋" w:eastAsia="仿宋"/>
          <w:b/>
          <w:sz w:val="32"/>
          <w:szCs w:val="32"/>
        </w:rPr>
      </w:pPr>
      <w:r>
        <w:rPr>
          <w:rFonts w:hint="eastAsia" w:ascii="仿宋" w:hAnsi="仿宋" w:eastAsia="仿宋"/>
          <w:b/>
          <w:sz w:val="32"/>
          <w:szCs w:val="32"/>
        </w:rPr>
        <w:t>业务范围</w:t>
      </w:r>
    </w:p>
    <w:p w14:paraId="2549F53E">
      <w:pPr>
        <w:pStyle w:val="8"/>
        <w:numPr>
          <w:ilvl w:val="0"/>
          <w:numId w:val="3"/>
        </w:numPr>
        <w:spacing w:line="360" w:lineRule="auto"/>
        <w:ind w:firstLineChars="0"/>
        <w:rPr>
          <w:rFonts w:ascii="仿宋" w:hAnsi="仿宋" w:eastAsia="仿宋" w:cs="仿宋_GB2312"/>
          <w:sz w:val="32"/>
          <w:szCs w:val="32"/>
        </w:rPr>
      </w:pP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sz w:val="32"/>
          <w:szCs w:val="32"/>
        </w:rPr>
        <w:t>的业务范围</w:t>
      </w:r>
    </w:p>
    <w:p w14:paraId="4EC1FFDF">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（一）宣传党和国家法律法规和相关政策，加强行业自律，恪守职业道德，履行社会责任</w:t>
      </w:r>
      <w:r>
        <w:rPr>
          <w:rFonts w:hint="eastAsia" w:ascii="仿宋" w:hAnsi="仿宋" w:eastAsia="仿宋" w:cs="仿宋_GB2312"/>
          <w:sz w:val="32"/>
          <w:szCs w:val="32"/>
          <w:lang w:eastAsia="zh-CN"/>
        </w:rPr>
        <w:t>。</w:t>
      </w:r>
    </w:p>
    <w:p w14:paraId="597C5880">
      <w:pPr>
        <w:pStyle w:val="8"/>
        <w:numPr>
          <w:ilvl w:val="0"/>
          <w:numId w:val="4"/>
        </w:numPr>
        <w:ind w:firstLineChars="0"/>
        <w:rPr>
          <w:rFonts w:ascii="仿宋" w:hAnsi="仿宋" w:eastAsia="仿宋" w:cs="仿宋_GB2312"/>
          <w:sz w:val="32"/>
          <w:szCs w:val="32"/>
        </w:rPr>
      </w:pPr>
      <w:r>
        <w:rPr>
          <w:rFonts w:hint="eastAsia" w:ascii="仿宋" w:hAnsi="仿宋" w:eastAsia="仿宋" w:cs="仿宋_GB2312"/>
          <w:sz w:val="32"/>
          <w:szCs w:val="32"/>
        </w:rPr>
        <w:t>维护会员的合法权益。</w:t>
      </w:r>
    </w:p>
    <w:p w14:paraId="58DA278A">
      <w:pPr>
        <w:pStyle w:val="8"/>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（三）为会员提供政策法规、业务创新、风险控制信息咨询服务。</w:t>
      </w:r>
    </w:p>
    <w:p w14:paraId="002D3189">
      <w:pPr>
        <w:ind w:firstLine="640" w:firstLineChars="200"/>
        <w:rPr>
          <w:rFonts w:ascii="仿宋" w:hAnsi="仿宋" w:eastAsia="仿宋" w:cs="仿宋_GB2312"/>
          <w:sz w:val="32"/>
          <w:szCs w:val="32"/>
        </w:rPr>
      </w:pPr>
      <w:r>
        <w:rPr>
          <w:rFonts w:hint="eastAsia" w:ascii="仿宋" w:hAnsi="仿宋" w:eastAsia="仿宋" w:cs="仿宋_GB2312"/>
          <w:sz w:val="32"/>
          <w:szCs w:val="32"/>
        </w:rPr>
        <w:t>（四）组织开展会员培训、交流，开展行业调查研究，搭建行业信息服务平台，为会员提供信息服务。</w:t>
      </w:r>
    </w:p>
    <w:p w14:paraId="2D8DA15A">
      <w:pPr>
        <w:jc w:val="center"/>
        <w:rPr>
          <w:rFonts w:ascii="仿宋" w:hAnsi="仿宋" w:eastAsia="仿宋"/>
          <w:b/>
          <w:sz w:val="32"/>
          <w:szCs w:val="32"/>
        </w:rPr>
      </w:pPr>
      <w:r>
        <w:rPr>
          <w:rFonts w:hint="eastAsia" w:ascii="仿宋" w:hAnsi="仿宋" w:eastAsia="仿宋"/>
          <w:b/>
          <w:sz w:val="32"/>
          <w:szCs w:val="32"/>
        </w:rPr>
        <w:t>第三章 会员</w:t>
      </w:r>
    </w:p>
    <w:p w14:paraId="55756731">
      <w:pPr>
        <w:rPr>
          <w:rFonts w:ascii="仿宋" w:hAnsi="仿宋" w:eastAsia="仿宋"/>
          <w:sz w:val="32"/>
          <w:szCs w:val="32"/>
        </w:rPr>
      </w:pPr>
      <w:r>
        <w:rPr>
          <w:rFonts w:hint="eastAsia" w:ascii="仿宋" w:hAnsi="仿宋" w:eastAsia="仿宋"/>
          <w:sz w:val="32"/>
          <w:szCs w:val="32"/>
        </w:rPr>
        <w:t>　　第八条</w:t>
      </w:r>
      <w:r>
        <w:rPr>
          <w:rFonts w:hint="eastAsia" w:ascii="仿宋" w:hAnsi="仿宋" w:eastAsia="仿宋"/>
          <w:sz w:val="32"/>
          <w:szCs w:val="32"/>
          <w:lang w:val="en-US" w:eastAsia="zh-CN"/>
        </w:rPr>
        <w:t xml:space="preserve"> </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sz w:val="32"/>
          <w:szCs w:val="32"/>
        </w:rPr>
        <w:t>的会员种类为单位会员。</w:t>
      </w:r>
    </w:p>
    <w:p w14:paraId="13484B57">
      <w:pPr>
        <w:ind w:firstLine="630"/>
        <w:rPr>
          <w:rFonts w:ascii="仿宋" w:hAnsi="仿宋" w:eastAsia="仿宋"/>
          <w:sz w:val="32"/>
          <w:szCs w:val="32"/>
        </w:rPr>
      </w:pPr>
      <w:r>
        <w:rPr>
          <w:rFonts w:hint="eastAsia" w:ascii="仿宋" w:hAnsi="仿宋" w:eastAsia="仿宋"/>
          <w:sz w:val="32"/>
          <w:szCs w:val="32"/>
        </w:rPr>
        <w:t>第九条 申请加入本</w:t>
      </w:r>
      <w:r>
        <w:rPr>
          <w:rFonts w:hint="eastAsia" w:ascii="仿宋" w:hAnsi="仿宋" w:eastAsia="仿宋"/>
          <w:sz w:val="32"/>
          <w:szCs w:val="32"/>
          <w:lang w:val="en-US" w:eastAsia="zh-CN"/>
        </w:rPr>
        <w:t>协会</w:t>
      </w:r>
      <w:r>
        <w:rPr>
          <w:rFonts w:hint="eastAsia" w:ascii="仿宋" w:hAnsi="仿宋" w:eastAsia="仿宋"/>
          <w:sz w:val="32"/>
          <w:szCs w:val="32"/>
        </w:rPr>
        <w:t>的会员，必须具备下列条件</w:t>
      </w:r>
    </w:p>
    <w:p w14:paraId="692D1AC0">
      <w:pPr>
        <w:ind w:firstLine="640" w:firstLineChars="200"/>
        <w:rPr>
          <w:rFonts w:ascii="仿宋" w:hAnsi="仿宋" w:eastAsia="仿宋"/>
          <w:sz w:val="32"/>
          <w:szCs w:val="32"/>
        </w:rPr>
      </w:pPr>
      <w:r>
        <w:rPr>
          <w:rFonts w:hint="eastAsia" w:ascii="仿宋" w:hAnsi="仿宋" w:eastAsia="仿宋"/>
          <w:sz w:val="32"/>
          <w:szCs w:val="32"/>
        </w:rPr>
        <w:t>（一）拥护本</w:t>
      </w:r>
      <w:r>
        <w:rPr>
          <w:rFonts w:hint="eastAsia" w:ascii="仿宋" w:hAnsi="仿宋" w:eastAsia="仿宋"/>
          <w:sz w:val="32"/>
          <w:szCs w:val="32"/>
          <w:lang w:val="en-US" w:eastAsia="zh-CN"/>
        </w:rPr>
        <w:t>协会</w:t>
      </w:r>
      <w:r>
        <w:rPr>
          <w:rFonts w:hint="eastAsia" w:ascii="仿宋" w:hAnsi="仿宋" w:eastAsia="仿宋"/>
          <w:sz w:val="32"/>
          <w:szCs w:val="32"/>
        </w:rPr>
        <w:t>的章程；</w:t>
      </w:r>
    </w:p>
    <w:p w14:paraId="7703FA38">
      <w:pPr>
        <w:ind w:firstLine="640" w:firstLineChars="200"/>
        <w:rPr>
          <w:rFonts w:ascii="仿宋" w:hAnsi="仿宋" w:eastAsia="仿宋"/>
          <w:sz w:val="32"/>
          <w:szCs w:val="32"/>
        </w:rPr>
      </w:pPr>
      <w:r>
        <w:rPr>
          <w:rFonts w:hint="eastAsia" w:ascii="仿宋" w:hAnsi="仿宋" w:eastAsia="仿宋"/>
          <w:sz w:val="32"/>
          <w:szCs w:val="32"/>
        </w:rPr>
        <w:t>（二）有加入本</w:t>
      </w:r>
      <w:r>
        <w:rPr>
          <w:rFonts w:hint="eastAsia" w:ascii="仿宋" w:hAnsi="仿宋" w:eastAsia="仿宋"/>
          <w:sz w:val="32"/>
          <w:szCs w:val="32"/>
          <w:lang w:val="en-US" w:eastAsia="zh-CN"/>
        </w:rPr>
        <w:t>协会</w:t>
      </w:r>
      <w:r>
        <w:rPr>
          <w:rFonts w:hint="eastAsia" w:ascii="仿宋" w:hAnsi="仿宋" w:eastAsia="仿宋"/>
          <w:sz w:val="32"/>
          <w:szCs w:val="32"/>
        </w:rPr>
        <w:t>的意愿；</w:t>
      </w:r>
    </w:p>
    <w:p w14:paraId="072A5438">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在</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业务领域内</w:t>
      </w:r>
      <w:r>
        <w:rPr>
          <w:rFonts w:hint="eastAsia" w:ascii="仿宋" w:hAnsi="仿宋" w:eastAsia="仿宋"/>
          <w:sz w:val="32"/>
          <w:szCs w:val="32"/>
        </w:rPr>
        <w:t>具有一定</w:t>
      </w:r>
      <w:r>
        <w:rPr>
          <w:rFonts w:ascii="仿宋" w:hAnsi="仿宋" w:eastAsia="仿宋"/>
          <w:sz w:val="32"/>
          <w:szCs w:val="32"/>
        </w:rPr>
        <w:t>的影响；</w:t>
      </w:r>
    </w:p>
    <w:p w14:paraId="754BEB2B">
      <w:pPr>
        <w:ind w:firstLine="640" w:firstLineChars="200"/>
        <w:rPr>
          <w:rFonts w:ascii="仿宋" w:hAnsi="仿宋" w:eastAsia="仿宋"/>
          <w:sz w:val="32"/>
          <w:szCs w:val="32"/>
        </w:rPr>
      </w:pPr>
      <w:r>
        <w:rPr>
          <w:rFonts w:hint="eastAsia" w:ascii="仿宋" w:hAnsi="仿宋" w:eastAsia="仿宋"/>
          <w:sz w:val="32"/>
          <w:szCs w:val="32"/>
        </w:rPr>
        <w:t>（四）单位会员为融资担保行业的</w:t>
      </w:r>
      <w:r>
        <w:rPr>
          <w:rFonts w:hint="eastAsia" w:ascii="仿宋" w:hAnsi="仿宋" w:eastAsia="仿宋"/>
          <w:sz w:val="32"/>
          <w:szCs w:val="32"/>
          <w:lang w:val="en-US" w:eastAsia="zh-CN"/>
        </w:rPr>
        <w:t>企事业单位</w:t>
      </w:r>
      <w:r>
        <w:rPr>
          <w:rFonts w:hint="eastAsia" w:ascii="仿宋" w:hAnsi="仿宋" w:eastAsia="仿宋"/>
          <w:sz w:val="32"/>
          <w:szCs w:val="32"/>
        </w:rPr>
        <w:t>，应持有工商营业执照（法律有特别规定的，需提交相关许可证）等相关证件；</w:t>
      </w:r>
    </w:p>
    <w:p w14:paraId="128E76D4">
      <w:pPr>
        <w:ind w:left="640" w:hanging="640" w:hangingChars="200"/>
        <w:rPr>
          <w:rFonts w:ascii="仿宋" w:hAnsi="仿宋" w:eastAsia="仿宋"/>
          <w:sz w:val="32"/>
          <w:szCs w:val="32"/>
        </w:rPr>
      </w:pPr>
      <w:r>
        <w:rPr>
          <w:rFonts w:hint="eastAsia" w:ascii="仿宋" w:hAnsi="仿宋" w:eastAsia="仿宋"/>
          <w:sz w:val="32"/>
          <w:szCs w:val="32"/>
        </w:rPr>
        <w:t>　　第十条 会员入会的程序是：</w:t>
      </w:r>
      <w:r>
        <w:rPr>
          <w:rFonts w:hint="eastAsia" w:ascii="仿宋" w:hAnsi="仿宋" w:eastAsia="仿宋"/>
          <w:sz w:val="32"/>
          <w:szCs w:val="32"/>
        </w:rPr>
        <w:br w:type="textWrapping"/>
      </w:r>
      <w:r>
        <w:rPr>
          <w:rFonts w:hint="eastAsia" w:ascii="仿宋" w:hAnsi="仿宋" w:eastAsia="仿宋"/>
          <w:sz w:val="32"/>
          <w:szCs w:val="32"/>
        </w:rPr>
        <w:t>（一）提交入会申请书；</w:t>
      </w:r>
    </w:p>
    <w:p w14:paraId="66593C1A">
      <w:pPr>
        <w:ind w:firstLine="640" w:firstLineChars="200"/>
        <w:rPr>
          <w:rFonts w:ascii="仿宋" w:hAnsi="仿宋" w:eastAsia="仿宋"/>
          <w:sz w:val="32"/>
          <w:szCs w:val="32"/>
        </w:rPr>
      </w:pPr>
      <w:r>
        <w:rPr>
          <w:rFonts w:hint="eastAsia" w:ascii="仿宋" w:hAnsi="仿宋" w:eastAsia="仿宋"/>
          <w:sz w:val="32"/>
          <w:szCs w:val="32"/>
        </w:rPr>
        <w:t>（二）提交有关证明材料，包括工商行政管理部门颁发</w:t>
      </w:r>
    </w:p>
    <w:p w14:paraId="156A8BB4">
      <w:pPr>
        <w:rPr>
          <w:rFonts w:ascii="仿宋" w:hAnsi="仿宋" w:eastAsia="仿宋"/>
          <w:sz w:val="32"/>
          <w:szCs w:val="32"/>
        </w:rPr>
      </w:pPr>
      <w:r>
        <w:rPr>
          <w:rFonts w:hint="eastAsia" w:ascii="仿宋" w:hAnsi="仿宋" w:eastAsia="仿宋"/>
          <w:sz w:val="32"/>
          <w:szCs w:val="32"/>
        </w:rPr>
        <w:t>的营业执照复印件或其他机关颁发的有效证件复印件，本单</w:t>
      </w:r>
    </w:p>
    <w:p w14:paraId="5102E39C">
      <w:pPr>
        <w:rPr>
          <w:rFonts w:ascii="仿宋" w:hAnsi="仿宋" w:eastAsia="仿宋"/>
          <w:sz w:val="32"/>
          <w:szCs w:val="32"/>
        </w:rPr>
      </w:pPr>
      <w:r>
        <w:rPr>
          <w:rFonts w:hint="eastAsia" w:ascii="仿宋" w:hAnsi="仿宋" w:eastAsia="仿宋"/>
          <w:sz w:val="32"/>
          <w:szCs w:val="32"/>
        </w:rPr>
        <w:t>位简介、法定代表人和主要高级管理人员有效证件复印件及简历；</w:t>
      </w:r>
    </w:p>
    <w:p w14:paraId="2972C46D">
      <w:pPr>
        <w:ind w:firstLine="640" w:firstLineChars="200"/>
        <w:rPr>
          <w:rFonts w:ascii="仿宋" w:hAnsi="仿宋" w:eastAsia="仿宋"/>
          <w:sz w:val="32"/>
          <w:szCs w:val="32"/>
        </w:rPr>
      </w:pPr>
      <w:r>
        <w:rPr>
          <w:rFonts w:hint="eastAsia" w:ascii="仿宋" w:hAnsi="仿宋" w:eastAsia="仿宋"/>
          <w:sz w:val="32"/>
          <w:szCs w:val="32"/>
        </w:rPr>
        <w:t>（三）理事会收到申请人的申请书后，应召开会议决定</w:t>
      </w:r>
    </w:p>
    <w:p w14:paraId="7038950B">
      <w:pPr>
        <w:rPr>
          <w:rFonts w:ascii="仿宋" w:hAnsi="仿宋" w:eastAsia="仿宋"/>
          <w:sz w:val="32"/>
          <w:szCs w:val="32"/>
        </w:rPr>
      </w:pPr>
      <w:r>
        <w:rPr>
          <w:rFonts w:hint="eastAsia" w:ascii="仿宋" w:hAnsi="仿宋" w:eastAsia="仿宋"/>
          <w:sz w:val="32"/>
          <w:szCs w:val="32"/>
        </w:rPr>
        <w:t>是否接受申请人的申请，对符合入会条件的申请人，为其办</w:t>
      </w:r>
    </w:p>
    <w:p w14:paraId="5EFAF6E0">
      <w:pPr>
        <w:rPr>
          <w:rFonts w:ascii="仿宋" w:hAnsi="仿宋" w:eastAsia="仿宋"/>
          <w:sz w:val="32"/>
          <w:szCs w:val="32"/>
        </w:rPr>
      </w:pPr>
      <w:r>
        <w:rPr>
          <w:rFonts w:hint="eastAsia" w:ascii="仿宋" w:hAnsi="仿宋" w:eastAsia="仿宋"/>
          <w:sz w:val="32"/>
          <w:szCs w:val="32"/>
        </w:rPr>
        <w:t>理相关入会手续；</w:t>
      </w:r>
    </w:p>
    <w:p w14:paraId="5B2106BC">
      <w:pPr>
        <w:ind w:firstLine="640" w:firstLineChars="200"/>
        <w:rPr>
          <w:rFonts w:ascii="仿宋" w:hAnsi="仿宋" w:eastAsia="仿宋"/>
          <w:sz w:val="32"/>
          <w:szCs w:val="32"/>
        </w:rPr>
      </w:pPr>
      <w:r>
        <w:rPr>
          <w:rFonts w:hint="eastAsia" w:ascii="仿宋" w:hAnsi="仿宋" w:eastAsia="仿宋"/>
          <w:sz w:val="32"/>
          <w:szCs w:val="32"/>
        </w:rPr>
        <w:t>（四）经审核同意入会的，由理事会或理事会授权的机构向申请人颁发会员证书，并予以公告，申请人即取得会员资格。</w:t>
      </w:r>
    </w:p>
    <w:p w14:paraId="17A57C57">
      <w:pPr>
        <w:ind w:left="640" w:hanging="640" w:hangingChars="200"/>
        <w:rPr>
          <w:rFonts w:ascii="仿宋" w:hAnsi="仿宋" w:eastAsia="仿宋"/>
          <w:sz w:val="32"/>
          <w:szCs w:val="32"/>
        </w:rPr>
      </w:pPr>
      <w:r>
        <w:rPr>
          <w:rFonts w:hint="eastAsia" w:ascii="仿宋" w:hAnsi="仿宋" w:eastAsia="仿宋"/>
          <w:sz w:val="32"/>
          <w:szCs w:val="32"/>
        </w:rPr>
        <w:t>　　第十一条 会员享有下列权利：</w:t>
      </w:r>
      <w:r>
        <w:rPr>
          <w:rFonts w:hint="eastAsia" w:ascii="仿宋" w:hAnsi="仿宋" w:eastAsia="仿宋"/>
          <w:sz w:val="32"/>
          <w:szCs w:val="32"/>
        </w:rPr>
        <w:br w:type="textWrapping"/>
      </w:r>
      <w:r>
        <w:rPr>
          <w:rFonts w:hint="eastAsia" w:ascii="仿宋" w:hAnsi="仿宋" w:eastAsia="仿宋"/>
          <w:sz w:val="32"/>
          <w:szCs w:val="32"/>
        </w:rPr>
        <w:t>（一）本</w:t>
      </w:r>
      <w:r>
        <w:rPr>
          <w:rFonts w:hint="eastAsia" w:ascii="仿宋" w:hAnsi="仿宋" w:eastAsia="仿宋"/>
          <w:sz w:val="32"/>
          <w:szCs w:val="32"/>
          <w:lang w:val="en-US" w:eastAsia="zh-CN"/>
        </w:rPr>
        <w:t>协会</w:t>
      </w:r>
      <w:r>
        <w:rPr>
          <w:rFonts w:ascii="仿宋" w:hAnsi="仿宋" w:eastAsia="仿宋"/>
          <w:sz w:val="32"/>
          <w:szCs w:val="32"/>
        </w:rPr>
        <w:t>的选举权、被选举权和表决权；</w:t>
      </w:r>
      <w:r>
        <w:rPr>
          <w:rFonts w:ascii="仿宋" w:hAnsi="仿宋" w:eastAsia="仿宋"/>
          <w:sz w:val="32"/>
          <w:szCs w:val="32"/>
        </w:rPr>
        <w:br w:type="textWrapping"/>
      </w:r>
      <w:r>
        <w:rPr>
          <w:rFonts w:hint="eastAsia" w:ascii="仿宋" w:hAnsi="仿宋" w:eastAsia="仿宋"/>
          <w:sz w:val="32"/>
          <w:szCs w:val="32"/>
        </w:rPr>
        <w:t>（二）</w:t>
      </w:r>
      <w:r>
        <w:rPr>
          <w:rFonts w:ascii="仿宋" w:hAnsi="仿宋" w:eastAsia="仿宋"/>
          <w:sz w:val="32"/>
          <w:szCs w:val="32"/>
        </w:rPr>
        <w:t>参加</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的活动；</w:t>
      </w:r>
      <w:r>
        <w:rPr>
          <w:rFonts w:ascii="仿宋" w:hAnsi="仿宋" w:eastAsia="仿宋"/>
          <w:sz w:val="32"/>
          <w:szCs w:val="32"/>
        </w:rPr>
        <w:br w:type="textWrapping"/>
      </w:r>
      <w:r>
        <w:rPr>
          <w:rFonts w:hint="eastAsia" w:ascii="仿宋" w:hAnsi="仿宋" w:eastAsia="仿宋"/>
          <w:sz w:val="32"/>
          <w:szCs w:val="32"/>
        </w:rPr>
        <w:t>（三）</w:t>
      </w:r>
      <w:r>
        <w:rPr>
          <w:rFonts w:ascii="仿宋" w:hAnsi="仿宋" w:eastAsia="仿宋"/>
          <w:sz w:val="32"/>
          <w:szCs w:val="32"/>
        </w:rPr>
        <w:t>获得</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服务的优先权；</w:t>
      </w:r>
    </w:p>
    <w:p w14:paraId="4266F39E">
      <w:pPr>
        <w:ind w:left="638" w:leftChars="304"/>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对</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工作的批评建议权和监督权；</w:t>
      </w:r>
    </w:p>
    <w:p w14:paraId="587397AC">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入会自愿、退会自由；</w:t>
      </w:r>
    </w:p>
    <w:p w14:paraId="5A3608D4">
      <w:pPr>
        <w:ind w:firstLine="640" w:firstLineChars="200"/>
        <w:rPr>
          <w:rFonts w:ascii="仿宋" w:hAnsi="仿宋" w:eastAsia="仿宋"/>
          <w:sz w:val="32"/>
          <w:szCs w:val="32"/>
        </w:rPr>
      </w:pPr>
      <w:r>
        <w:rPr>
          <w:rFonts w:hint="eastAsia" w:ascii="仿宋" w:hAnsi="仿宋" w:eastAsia="仿宋"/>
          <w:sz w:val="32"/>
          <w:szCs w:val="32"/>
        </w:rPr>
        <w:t>（六）会员大会决议规定的其他权利。</w:t>
      </w:r>
    </w:p>
    <w:p w14:paraId="0712781C">
      <w:pPr>
        <w:ind w:left="320" w:hanging="320" w:hangingChars="100"/>
        <w:rPr>
          <w:rFonts w:ascii="仿宋" w:hAnsi="仿宋" w:eastAsia="仿宋"/>
          <w:sz w:val="32"/>
          <w:szCs w:val="32"/>
        </w:rPr>
      </w:pPr>
      <w:r>
        <w:rPr>
          <w:rFonts w:hint="eastAsia" w:ascii="仿宋" w:hAnsi="仿宋" w:eastAsia="仿宋"/>
          <w:sz w:val="32"/>
          <w:szCs w:val="32"/>
        </w:rPr>
        <w:t>　　第十二条会员履行下列义务：</w:t>
      </w:r>
    </w:p>
    <w:p w14:paraId="7CE73420">
      <w:pPr>
        <w:ind w:left="319" w:leftChars="152" w:firstLine="320" w:firstLineChars="1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执行</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的决议；</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（二）</w:t>
      </w:r>
      <w:r>
        <w:rPr>
          <w:rFonts w:ascii="仿宋" w:hAnsi="仿宋" w:eastAsia="仿宋"/>
          <w:sz w:val="32"/>
          <w:szCs w:val="32"/>
        </w:rPr>
        <w:t>维护</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合法权益；</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（三）</w:t>
      </w:r>
      <w:r>
        <w:rPr>
          <w:rFonts w:ascii="仿宋" w:hAnsi="仿宋" w:eastAsia="仿宋"/>
          <w:sz w:val="32"/>
          <w:szCs w:val="32"/>
        </w:rPr>
        <w:t>完成</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交办的工作；</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（四）</w:t>
      </w:r>
      <w:r>
        <w:rPr>
          <w:rFonts w:ascii="仿宋" w:hAnsi="仿宋" w:eastAsia="仿宋"/>
          <w:sz w:val="32"/>
          <w:szCs w:val="32"/>
        </w:rPr>
        <w:t>按规定交纳会费；</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（五）</w:t>
      </w:r>
      <w:r>
        <w:rPr>
          <w:rFonts w:ascii="仿宋" w:hAnsi="仿宋" w:eastAsia="仿宋"/>
          <w:sz w:val="32"/>
          <w:szCs w:val="32"/>
        </w:rPr>
        <w:t>向</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反映情况，提供有关资料；</w:t>
      </w:r>
    </w:p>
    <w:p w14:paraId="65A3D5EA">
      <w:pPr>
        <w:ind w:left="319" w:leftChars="152" w:firstLine="320" w:firstLineChars="100"/>
        <w:rPr>
          <w:rFonts w:ascii="仿宋" w:hAnsi="仿宋" w:eastAsia="仿宋"/>
          <w:sz w:val="32"/>
          <w:szCs w:val="32"/>
        </w:rPr>
      </w:pPr>
      <w:r>
        <w:rPr>
          <w:rFonts w:hint="eastAsia" w:ascii="仿宋" w:hAnsi="仿宋" w:eastAsia="仿宋"/>
          <w:sz w:val="32"/>
          <w:szCs w:val="32"/>
        </w:rPr>
        <w:t>（六）积极宣传并参与本</w:t>
      </w:r>
      <w:r>
        <w:rPr>
          <w:rFonts w:hint="eastAsia" w:ascii="仿宋" w:hAnsi="仿宋" w:eastAsia="仿宋"/>
          <w:sz w:val="32"/>
          <w:szCs w:val="32"/>
          <w:lang w:val="en-US" w:eastAsia="zh-CN"/>
        </w:rPr>
        <w:t>协会</w:t>
      </w:r>
      <w:r>
        <w:rPr>
          <w:rFonts w:hint="eastAsia" w:ascii="仿宋" w:hAnsi="仿宋" w:eastAsia="仿宋"/>
          <w:sz w:val="32"/>
          <w:szCs w:val="32"/>
        </w:rPr>
        <w:t>的各项活动；</w:t>
      </w:r>
    </w:p>
    <w:p w14:paraId="5BBAC0EC">
      <w:pPr>
        <w:ind w:firstLine="640" w:firstLineChars="200"/>
        <w:rPr>
          <w:rFonts w:ascii="仿宋" w:hAnsi="仿宋" w:eastAsia="仿宋"/>
          <w:sz w:val="32"/>
          <w:szCs w:val="32"/>
        </w:rPr>
      </w:pPr>
      <w:r>
        <w:rPr>
          <w:rFonts w:hint="eastAsia" w:ascii="仿宋" w:hAnsi="仿宋" w:eastAsia="仿宋"/>
          <w:sz w:val="32"/>
          <w:szCs w:val="32"/>
        </w:rPr>
        <w:t>（七）为本</w:t>
      </w:r>
      <w:r>
        <w:rPr>
          <w:rFonts w:hint="eastAsia" w:ascii="仿宋" w:hAnsi="仿宋" w:eastAsia="仿宋"/>
          <w:sz w:val="32"/>
          <w:szCs w:val="32"/>
          <w:lang w:val="en-US" w:eastAsia="zh-CN"/>
        </w:rPr>
        <w:t>协会</w:t>
      </w:r>
      <w:r>
        <w:rPr>
          <w:rFonts w:hint="eastAsia" w:ascii="仿宋" w:hAnsi="仿宋" w:eastAsia="仿宋"/>
          <w:sz w:val="32"/>
          <w:szCs w:val="32"/>
        </w:rPr>
        <w:t>的发展献策出力；</w:t>
      </w:r>
    </w:p>
    <w:p w14:paraId="64691ABC">
      <w:pPr>
        <w:ind w:firstLine="640" w:firstLineChars="200"/>
        <w:rPr>
          <w:rFonts w:ascii="仿宋" w:hAnsi="仿宋" w:eastAsia="仿宋"/>
          <w:sz w:val="32"/>
          <w:szCs w:val="32"/>
        </w:rPr>
      </w:pPr>
      <w:r>
        <w:rPr>
          <w:rFonts w:hint="eastAsia" w:ascii="仿宋" w:hAnsi="仿宋" w:eastAsia="仿宋"/>
          <w:sz w:val="32"/>
          <w:szCs w:val="32"/>
        </w:rPr>
        <w:t>（八）联络方式更改时及时通知本</w:t>
      </w:r>
      <w:r>
        <w:rPr>
          <w:rFonts w:hint="eastAsia" w:ascii="仿宋" w:hAnsi="仿宋" w:eastAsia="仿宋"/>
          <w:sz w:val="32"/>
          <w:szCs w:val="32"/>
          <w:lang w:val="en-US" w:eastAsia="zh-CN"/>
        </w:rPr>
        <w:t>协会</w:t>
      </w:r>
      <w:r>
        <w:rPr>
          <w:rFonts w:hint="eastAsia" w:ascii="仿宋" w:hAnsi="仿宋" w:eastAsia="仿宋"/>
          <w:sz w:val="32"/>
          <w:szCs w:val="32"/>
        </w:rPr>
        <w:t>；</w:t>
      </w:r>
    </w:p>
    <w:p w14:paraId="50B6040F">
      <w:pPr>
        <w:ind w:firstLine="640" w:firstLineChars="200"/>
        <w:rPr>
          <w:rFonts w:ascii="仿宋" w:hAnsi="仿宋" w:eastAsia="仿宋"/>
          <w:sz w:val="32"/>
          <w:szCs w:val="32"/>
        </w:rPr>
      </w:pPr>
      <w:r>
        <w:rPr>
          <w:rFonts w:hint="eastAsia" w:ascii="仿宋" w:hAnsi="仿宋" w:eastAsia="仿宋"/>
          <w:sz w:val="32"/>
          <w:szCs w:val="32"/>
        </w:rPr>
        <w:t>（九）接受</w:t>
      </w:r>
      <w:r>
        <w:rPr>
          <w:rFonts w:hint="eastAsia" w:ascii="仿宋" w:hAnsi="仿宋" w:eastAsia="仿宋"/>
          <w:sz w:val="32"/>
          <w:szCs w:val="32"/>
          <w:lang w:val="en-US" w:eastAsia="zh-CN"/>
        </w:rPr>
        <w:t>本</w:t>
      </w:r>
      <w:r>
        <w:rPr>
          <w:rFonts w:hint="eastAsia" w:ascii="仿宋" w:hAnsi="仿宋" w:eastAsia="仿宋"/>
          <w:sz w:val="32"/>
          <w:szCs w:val="32"/>
        </w:rPr>
        <w:t>协会的质询和调查，如实反映情况并提供</w:t>
      </w:r>
      <w:r>
        <w:rPr>
          <w:rFonts w:hint="eastAsia" w:ascii="仿宋" w:hAnsi="仿宋" w:eastAsia="仿宋"/>
          <w:sz w:val="32"/>
          <w:szCs w:val="32"/>
          <w:lang w:val="en-US" w:eastAsia="zh-CN"/>
        </w:rPr>
        <w:t>本</w:t>
      </w:r>
      <w:r>
        <w:rPr>
          <w:rFonts w:hint="eastAsia" w:ascii="仿宋" w:hAnsi="仿宋" w:eastAsia="仿宋"/>
          <w:sz w:val="32"/>
          <w:szCs w:val="32"/>
        </w:rPr>
        <w:t>协会履行职责所需的有关资料；</w:t>
      </w:r>
    </w:p>
    <w:p w14:paraId="15DB41E1">
      <w:pPr>
        <w:ind w:firstLine="640" w:firstLineChars="200"/>
        <w:rPr>
          <w:rFonts w:ascii="仿宋" w:hAnsi="仿宋" w:eastAsia="仿宋"/>
          <w:sz w:val="32"/>
          <w:szCs w:val="32"/>
        </w:rPr>
      </w:pPr>
      <w:r>
        <w:rPr>
          <w:rFonts w:hint="eastAsia" w:ascii="仿宋" w:hAnsi="仿宋" w:eastAsia="仿宋"/>
          <w:sz w:val="32"/>
          <w:szCs w:val="32"/>
        </w:rPr>
        <w:t>（十）会员大会决议规定的其他义务。</w:t>
      </w:r>
    </w:p>
    <w:p w14:paraId="2B30FFB6">
      <w:pPr>
        <w:ind w:firstLine="640" w:firstLineChars="200"/>
        <w:rPr>
          <w:rFonts w:ascii="仿宋" w:hAnsi="仿宋" w:eastAsia="仿宋"/>
          <w:sz w:val="32"/>
          <w:szCs w:val="32"/>
        </w:rPr>
      </w:pPr>
      <w:r>
        <w:rPr>
          <w:rFonts w:ascii="仿宋" w:hAnsi="仿宋" w:eastAsia="仿宋"/>
          <w:sz w:val="32"/>
          <w:szCs w:val="32"/>
        </w:rPr>
        <w:t>第十三条</w:t>
      </w:r>
      <w:r>
        <w:rPr>
          <w:rFonts w:hint="eastAsia" w:ascii="仿宋" w:hAnsi="仿宋" w:eastAsia="仿宋"/>
          <w:sz w:val="32"/>
          <w:szCs w:val="32"/>
        </w:rPr>
        <w:t xml:space="preserve"> </w:t>
      </w:r>
      <w:r>
        <w:rPr>
          <w:rFonts w:ascii="仿宋" w:hAnsi="仿宋" w:eastAsia="仿宋"/>
          <w:sz w:val="32"/>
          <w:szCs w:val="32"/>
        </w:rPr>
        <w:t>会员退会应书面通知</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，并交回会员证。会员如果1年不交纳会费或不参加</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活动的，视为自动退会。</w:t>
      </w:r>
    </w:p>
    <w:p w14:paraId="1F6EABA6">
      <w:pPr>
        <w:rPr>
          <w:rFonts w:ascii="仿宋" w:hAnsi="仿宋" w:eastAsia="仿宋"/>
          <w:sz w:val="32"/>
          <w:szCs w:val="32"/>
        </w:rPr>
      </w:pPr>
      <w:r>
        <w:rPr>
          <w:rFonts w:ascii="仿宋" w:hAnsi="仿宋" w:eastAsia="仿宋"/>
          <w:sz w:val="32"/>
          <w:szCs w:val="32"/>
        </w:rPr>
        <w:t>　　第十四条</w:t>
      </w:r>
      <w:r>
        <w:rPr>
          <w:rFonts w:hint="eastAsia" w:ascii="仿宋" w:hAnsi="仿宋" w:eastAsia="仿宋"/>
          <w:sz w:val="32"/>
          <w:szCs w:val="32"/>
        </w:rPr>
        <w:t xml:space="preserve"> </w:t>
      </w:r>
      <w:r>
        <w:rPr>
          <w:rFonts w:ascii="仿宋" w:hAnsi="仿宋" w:eastAsia="仿宋"/>
          <w:sz w:val="32"/>
          <w:szCs w:val="32"/>
        </w:rPr>
        <w:t>会员如有严重违反本章程的行为，经理事会表决通过，予以除名。</w:t>
      </w:r>
    </w:p>
    <w:p w14:paraId="0B3C00CE">
      <w:pPr>
        <w:jc w:val="center"/>
        <w:rPr>
          <w:rFonts w:ascii="仿宋" w:hAnsi="仿宋" w:eastAsia="仿宋"/>
          <w:b/>
          <w:sz w:val="32"/>
          <w:szCs w:val="32"/>
        </w:rPr>
      </w:pPr>
      <w:r>
        <w:rPr>
          <w:rFonts w:ascii="仿宋" w:hAnsi="仿宋" w:eastAsia="仿宋"/>
          <w:b/>
          <w:sz w:val="32"/>
          <w:szCs w:val="32"/>
        </w:rPr>
        <w:t>第四章</w:t>
      </w:r>
      <w:r>
        <w:rPr>
          <w:rFonts w:hint="eastAsia" w:ascii="仿宋" w:hAnsi="仿宋" w:eastAsia="仿宋"/>
          <w:b/>
          <w:sz w:val="32"/>
          <w:szCs w:val="32"/>
        </w:rPr>
        <w:t xml:space="preserve"> </w:t>
      </w:r>
      <w:r>
        <w:rPr>
          <w:rFonts w:ascii="仿宋" w:hAnsi="仿宋" w:eastAsia="仿宋"/>
          <w:b/>
          <w:sz w:val="32"/>
          <w:szCs w:val="32"/>
        </w:rPr>
        <w:t>组织机构和负责人产生、罢免</w:t>
      </w:r>
    </w:p>
    <w:p w14:paraId="45F76B5F">
      <w:pPr>
        <w:rPr>
          <w:rFonts w:ascii="仿宋" w:hAnsi="仿宋" w:eastAsia="仿宋"/>
          <w:sz w:val="32"/>
          <w:szCs w:val="32"/>
        </w:rPr>
      </w:pPr>
      <w:r>
        <w:rPr>
          <w:rFonts w:ascii="仿宋" w:hAnsi="仿宋" w:eastAsia="仿宋"/>
          <w:sz w:val="32"/>
          <w:szCs w:val="32"/>
        </w:rPr>
        <w:t>　　第十五条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的最高权力机构是会员大会，会员大会的职权是：</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（一）</w:t>
      </w:r>
      <w:r>
        <w:rPr>
          <w:rFonts w:ascii="仿宋" w:hAnsi="仿宋" w:eastAsia="仿宋"/>
          <w:sz w:val="32"/>
          <w:szCs w:val="32"/>
        </w:rPr>
        <w:t>制定和修改章程；</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（二）</w:t>
      </w:r>
      <w:r>
        <w:rPr>
          <w:rFonts w:ascii="仿宋" w:hAnsi="仿宋" w:eastAsia="仿宋"/>
          <w:sz w:val="32"/>
          <w:szCs w:val="32"/>
        </w:rPr>
        <w:t>选举和罢免理事</w:t>
      </w:r>
      <w:r>
        <w:rPr>
          <w:rFonts w:hint="eastAsia" w:ascii="仿宋" w:hAnsi="仿宋" w:eastAsia="仿宋"/>
          <w:sz w:val="32"/>
          <w:szCs w:val="32"/>
          <w:lang w:eastAsia="zh-CN"/>
        </w:rPr>
        <w:t>、</w:t>
      </w:r>
      <w:r>
        <w:rPr>
          <w:rFonts w:hint="eastAsia" w:ascii="仿宋" w:hAnsi="仿宋" w:eastAsia="仿宋"/>
          <w:sz w:val="32"/>
          <w:szCs w:val="32"/>
          <w:lang w:val="en-US" w:eastAsia="zh-CN"/>
        </w:rPr>
        <w:t>监事</w:t>
      </w:r>
      <w:r>
        <w:rPr>
          <w:rFonts w:ascii="仿宋" w:hAnsi="仿宋" w:eastAsia="仿宋"/>
          <w:sz w:val="32"/>
          <w:szCs w:val="32"/>
        </w:rPr>
        <w:t>；</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（三）</w:t>
      </w:r>
      <w:r>
        <w:rPr>
          <w:rFonts w:ascii="仿宋" w:hAnsi="仿宋" w:eastAsia="仿宋"/>
          <w:sz w:val="32"/>
          <w:szCs w:val="32"/>
        </w:rPr>
        <w:t>审议理事会的工作报告和财务报告；</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（四）</w:t>
      </w:r>
      <w:r>
        <w:rPr>
          <w:rFonts w:ascii="仿宋" w:hAnsi="仿宋" w:eastAsia="仿宋"/>
          <w:sz w:val="32"/>
          <w:szCs w:val="32"/>
        </w:rPr>
        <w:t>审议会费收缴标准及办法；</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（五）</w:t>
      </w:r>
      <w:r>
        <w:rPr>
          <w:rFonts w:ascii="仿宋" w:hAnsi="仿宋" w:eastAsia="仿宋"/>
          <w:sz w:val="32"/>
          <w:szCs w:val="32"/>
        </w:rPr>
        <w:t>决定终止事宜；</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（六）</w:t>
      </w:r>
      <w:r>
        <w:rPr>
          <w:rFonts w:ascii="仿宋" w:hAnsi="仿宋" w:eastAsia="仿宋"/>
          <w:sz w:val="32"/>
          <w:szCs w:val="32"/>
        </w:rPr>
        <w:t>决定其他重大事宜。</w:t>
      </w:r>
    </w:p>
    <w:p w14:paraId="03498A02">
      <w:pPr>
        <w:rPr>
          <w:rFonts w:ascii="仿宋" w:hAnsi="仿宋" w:eastAsia="仿宋"/>
          <w:sz w:val="32"/>
          <w:szCs w:val="32"/>
        </w:rPr>
      </w:pPr>
      <w:r>
        <w:rPr>
          <w:rFonts w:ascii="仿宋" w:hAnsi="仿宋" w:eastAsia="仿宋"/>
          <w:sz w:val="32"/>
          <w:szCs w:val="32"/>
        </w:rPr>
        <w:t>　　第十六条</w:t>
      </w:r>
      <w:r>
        <w:rPr>
          <w:rFonts w:hint="eastAsia" w:ascii="仿宋" w:hAnsi="仿宋" w:eastAsia="仿宋"/>
          <w:sz w:val="32"/>
          <w:szCs w:val="32"/>
        </w:rPr>
        <w:t xml:space="preserve"> </w:t>
      </w:r>
      <w:r>
        <w:rPr>
          <w:rFonts w:ascii="仿宋" w:hAnsi="仿宋" w:eastAsia="仿宋"/>
          <w:sz w:val="32"/>
          <w:szCs w:val="32"/>
        </w:rPr>
        <w:t>会员大会须有2/3以上的会员出席方能召开，其决议须经到会会员2/3以上表决通过方能生效。</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第十</w:t>
      </w:r>
      <w:r>
        <w:rPr>
          <w:rFonts w:hint="eastAsia" w:ascii="仿宋" w:hAnsi="仿宋" w:eastAsia="仿宋"/>
          <w:sz w:val="32"/>
          <w:szCs w:val="32"/>
        </w:rPr>
        <w:t>七</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会员大会每届</w:t>
      </w:r>
      <w:r>
        <w:rPr>
          <w:rFonts w:hint="eastAsia" w:ascii="仿宋" w:hAnsi="仿宋" w:eastAsia="仿宋"/>
          <w:sz w:val="32"/>
          <w:szCs w:val="32"/>
        </w:rPr>
        <w:t>3</w:t>
      </w:r>
      <w:r>
        <w:rPr>
          <w:rFonts w:ascii="仿宋" w:hAnsi="仿宋" w:eastAsia="仿宋"/>
          <w:sz w:val="32"/>
          <w:szCs w:val="32"/>
        </w:rPr>
        <w:t>年。因特殊情况需提前或延期换届的，须由理事会表决通过，报业务主管单位审查并经社团登记管理机关批准同意。但延期换届最长不超过1年。</w:t>
      </w:r>
    </w:p>
    <w:p w14:paraId="795186C6">
      <w:pPr>
        <w:rPr>
          <w:rFonts w:ascii="仿宋" w:hAnsi="仿宋" w:eastAsia="仿宋"/>
          <w:sz w:val="32"/>
          <w:szCs w:val="32"/>
        </w:rPr>
      </w:pPr>
      <w:r>
        <w:rPr>
          <w:rFonts w:ascii="仿宋" w:hAnsi="仿宋" w:eastAsia="仿宋"/>
          <w:sz w:val="32"/>
          <w:szCs w:val="32"/>
        </w:rPr>
        <w:t>　　第十</w:t>
      </w:r>
      <w:r>
        <w:rPr>
          <w:rFonts w:hint="eastAsia" w:ascii="仿宋" w:hAnsi="仿宋" w:eastAsia="仿宋"/>
          <w:sz w:val="32"/>
          <w:szCs w:val="32"/>
        </w:rPr>
        <w:t>八</w:t>
      </w:r>
      <w:r>
        <w:rPr>
          <w:rFonts w:ascii="仿宋" w:hAnsi="仿宋" w:eastAsia="仿宋"/>
          <w:sz w:val="32"/>
          <w:szCs w:val="32"/>
        </w:rPr>
        <w:t>条 理事会是会员大会的执行机构，在闭会期间领导</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开展日常工作，对会员大会负责。</w:t>
      </w:r>
    </w:p>
    <w:p w14:paraId="314D493E">
      <w:pPr>
        <w:rPr>
          <w:rFonts w:ascii="仿宋" w:hAnsi="仿宋" w:eastAsia="仿宋"/>
          <w:sz w:val="32"/>
          <w:szCs w:val="32"/>
        </w:rPr>
      </w:pPr>
      <w:r>
        <w:rPr>
          <w:rFonts w:ascii="仿宋" w:hAnsi="仿宋" w:eastAsia="仿宋"/>
          <w:sz w:val="32"/>
          <w:szCs w:val="32"/>
        </w:rPr>
        <w:t>　　第十九条</w:t>
      </w:r>
      <w:r>
        <w:rPr>
          <w:rFonts w:hint="eastAsia" w:ascii="仿宋" w:hAnsi="仿宋" w:eastAsia="仿宋"/>
          <w:sz w:val="32"/>
          <w:szCs w:val="32"/>
        </w:rPr>
        <w:t xml:space="preserve"> 理</w:t>
      </w:r>
      <w:r>
        <w:rPr>
          <w:rFonts w:ascii="仿宋" w:hAnsi="仿宋" w:eastAsia="仿宋"/>
          <w:sz w:val="32"/>
          <w:szCs w:val="32"/>
        </w:rPr>
        <w:t>事会的职权是：</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（一）</w:t>
      </w:r>
      <w:r>
        <w:rPr>
          <w:rFonts w:ascii="仿宋" w:hAnsi="仿宋" w:eastAsia="仿宋"/>
          <w:sz w:val="32"/>
          <w:szCs w:val="32"/>
        </w:rPr>
        <w:t>执行会员大会的决议；</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（二）</w:t>
      </w:r>
      <w:r>
        <w:rPr>
          <w:rFonts w:ascii="仿宋" w:hAnsi="仿宋" w:eastAsia="仿宋"/>
          <w:sz w:val="32"/>
          <w:szCs w:val="32"/>
        </w:rPr>
        <w:t>选举和罢免会长、副会长、秘书长；</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（三）</w:t>
      </w:r>
      <w:r>
        <w:rPr>
          <w:rFonts w:ascii="仿宋" w:hAnsi="仿宋" w:eastAsia="仿宋"/>
          <w:sz w:val="32"/>
          <w:szCs w:val="32"/>
        </w:rPr>
        <w:t>筹备召开会员大会；</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（四）</w:t>
      </w:r>
      <w:r>
        <w:rPr>
          <w:rFonts w:ascii="仿宋" w:hAnsi="仿宋" w:eastAsia="仿宋"/>
          <w:sz w:val="32"/>
          <w:szCs w:val="32"/>
        </w:rPr>
        <w:t>向会员大会报告工作和财务状况；</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（五）</w:t>
      </w:r>
      <w:r>
        <w:rPr>
          <w:rFonts w:ascii="仿宋" w:hAnsi="仿宋" w:eastAsia="仿宋"/>
          <w:sz w:val="32"/>
          <w:szCs w:val="32"/>
        </w:rPr>
        <w:t>决定会员的吸收或除名；</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（六）</w:t>
      </w:r>
      <w:r>
        <w:rPr>
          <w:rFonts w:ascii="仿宋" w:hAnsi="仿宋" w:eastAsia="仿宋"/>
          <w:sz w:val="32"/>
          <w:szCs w:val="32"/>
        </w:rPr>
        <w:t>决定设立办事机构、分支机构、代表机构和实体机构；</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（七）</w:t>
      </w:r>
      <w:r>
        <w:rPr>
          <w:rFonts w:ascii="仿宋" w:hAnsi="仿宋" w:eastAsia="仿宋"/>
          <w:sz w:val="32"/>
          <w:szCs w:val="32"/>
        </w:rPr>
        <w:t>决定副秘书长、各机构主要负责人的聘任；</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（八）</w:t>
      </w:r>
      <w:r>
        <w:rPr>
          <w:rFonts w:ascii="仿宋" w:hAnsi="仿宋" w:eastAsia="仿宋"/>
          <w:sz w:val="32"/>
          <w:szCs w:val="32"/>
        </w:rPr>
        <w:t>领导</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各机构开展工作；</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（九）</w:t>
      </w:r>
      <w:r>
        <w:rPr>
          <w:rFonts w:ascii="仿宋" w:hAnsi="仿宋" w:eastAsia="仿宋"/>
          <w:sz w:val="32"/>
          <w:szCs w:val="32"/>
        </w:rPr>
        <w:t>制定内部管理制度；</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（十）</w:t>
      </w:r>
      <w:r>
        <w:rPr>
          <w:rFonts w:ascii="仿宋" w:hAnsi="仿宋" w:eastAsia="仿宋"/>
          <w:sz w:val="32"/>
          <w:szCs w:val="32"/>
        </w:rPr>
        <w:t>决定其他重大事项。</w:t>
      </w:r>
    </w:p>
    <w:p w14:paraId="3B85F741">
      <w:pPr>
        <w:rPr>
          <w:rFonts w:ascii="仿宋" w:hAnsi="仿宋" w:eastAsia="仿宋"/>
          <w:sz w:val="32"/>
          <w:szCs w:val="32"/>
        </w:rPr>
      </w:pPr>
      <w:r>
        <w:rPr>
          <w:rFonts w:ascii="仿宋" w:hAnsi="仿宋" w:eastAsia="仿宋"/>
          <w:sz w:val="32"/>
          <w:szCs w:val="32"/>
        </w:rPr>
        <w:t>　　第</w:t>
      </w:r>
      <w:r>
        <w:rPr>
          <w:rFonts w:hint="eastAsia" w:ascii="仿宋" w:hAnsi="仿宋" w:eastAsia="仿宋"/>
          <w:sz w:val="32"/>
          <w:szCs w:val="32"/>
        </w:rPr>
        <w:t>二十</w:t>
      </w:r>
      <w:r>
        <w:rPr>
          <w:rFonts w:ascii="仿宋" w:hAnsi="仿宋" w:eastAsia="仿宋"/>
          <w:sz w:val="32"/>
          <w:szCs w:val="32"/>
        </w:rPr>
        <w:t>条</w:t>
      </w:r>
      <w:r>
        <w:rPr>
          <w:rFonts w:hint="eastAsia" w:ascii="仿宋" w:hAnsi="仿宋" w:eastAsia="仿宋"/>
          <w:sz w:val="32"/>
          <w:szCs w:val="32"/>
        </w:rPr>
        <w:t xml:space="preserve"> 理</w:t>
      </w:r>
      <w:r>
        <w:rPr>
          <w:rFonts w:ascii="仿宋" w:hAnsi="仿宋" w:eastAsia="仿宋"/>
          <w:sz w:val="32"/>
          <w:szCs w:val="32"/>
        </w:rPr>
        <w:t>事会须有2/3以上理事出席方能召开，其决议须经到会理事2/3以上表决通过方能生效。</w:t>
      </w:r>
    </w:p>
    <w:p w14:paraId="76F9E182">
      <w:pPr>
        <w:rPr>
          <w:rFonts w:hint="eastAsia" w:ascii="仿宋" w:hAnsi="仿宋" w:eastAsia="仿宋"/>
          <w:sz w:val="32"/>
          <w:szCs w:val="32"/>
          <w:lang w:eastAsia="zh-CN"/>
        </w:rPr>
      </w:pPr>
      <w:r>
        <w:rPr>
          <w:rFonts w:ascii="仿宋" w:hAnsi="仿宋" w:eastAsia="仿宋"/>
          <w:sz w:val="32"/>
          <w:szCs w:val="32"/>
        </w:rPr>
        <w:t>　　第二十一条</w:t>
      </w:r>
      <w:r>
        <w:rPr>
          <w:rFonts w:hint="eastAsia" w:ascii="仿宋" w:hAnsi="仿宋" w:eastAsia="仿宋"/>
          <w:sz w:val="32"/>
          <w:szCs w:val="32"/>
        </w:rPr>
        <w:t xml:space="preserve"> 理</w:t>
      </w:r>
      <w:r>
        <w:rPr>
          <w:rFonts w:ascii="仿宋" w:hAnsi="仿宋" w:eastAsia="仿宋"/>
          <w:sz w:val="32"/>
          <w:szCs w:val="32"/>
        </w:rPr>
        <w:t>事会每年至少召开一次会议情况特殊的，也可采用通讯形式召开。</w:t>
      </w:r>
    </w:p>
    <w:p w14:paraId="7B815B4C">
      <w:pPr>
        <w:rPr>
          <w:rFonts w:ascii="仿宋" w:hAnsi="仿宋" w:eastAsia="仿宋"/>
          <w:sz w:val="32"/>
          <w:szCs w:val="32"/>
        </w:rPr>
      </w:pPr>
      <w:r>
        <w:rPr>
          <w:rFonts w:ascii="仿宋" w:hAnsi="仿宋" w:eastAsia="仿宋"/>
          <w:sz w:val="32"/>
          <w:szCs w:val="32"/>
        </w:rPr>
        <w:t>　　第二十</w:t>
      </w:r>
      <w:r>
        <w:rPr>
          <w:rFonts w:hint="eastAsia" w:ascii="仿宋" w:hAnsi="仿宋" w:eastAsia="仿宋"/>
          <w:sz w:val="32"/>
          <w:szCs w:val="32"/>
          <w:lang w:val="en-US" w:eastAsia="zh-CN"/>
        </w:rPr>
        <w:t>二</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的会长、副会长、秘书长必须具备下列条件：</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（一）</w:t>
      </w:r>
      <w:r>
        <w:rPr>
          <w:rFonts w:ascii="仿宋" w:hAnsi="仿宋" w:eastAsia="仿宋"/>
          <w:sz w:val="32"/>
          <w:szCs w:val="32"/>
        </w:rPr>
        <w:t>坚持党的路线、方针、政策、政治素质好；</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（二）</w:t>
      </w:r>
      <w:r>
        <w:rPr>
          <w:rFonts w:ascii="仿宋" w:hAnsi="仿宋" w:eastAsia="仿宋"/>
          <w:sz w:val="32"/>
          <w:szCs w:val="32"/>
        </w:rPr>
        <w:t>在</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业务领域内有较大影响；</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（三）</w:t>
      </w:r>
      <w:r>
        <w:rPr>
          <w:rFonts w:ascii="仿宋" w:hAnsi="仿宋" w:eastAsia="仿宋"/>
          <w:sz w:val="32"/>
          <w:szCs w:val="32"/>
        </w:rPr>
        <w:t>会长、副会长、秘书长最高任职年龄不超过70周岁，秘书长为专职；</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（四）</w:t>
      </w:r>
      <w:r>
        <w:rPr>
          <w:rFonts w:ascii="仿宋" w:hAnsi="仿宋" w:eastAsia="仿宋"/>
          <w:sz w:val="32"/>
          <w:szCs w:val="32"/>
        </w:rPr>
        <w:t>身体健康，能坚持正常工作；</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（五）</w:t>
      </w:r>
      <w:r>
        <w:rPr>
          <w:rFonts w:ascii="仿宋" w:hAnsi="仿宋" w:eastAsia="仿宋"/>
          <w:sz w:val="32"/>
          <w:szCs w:val="32"/>
        </w:rPr>
        <w:t>未受过剥夺政治权利的刑事处罚的；</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（六）</w:t>
      </w:r>
      <w:r>
        <w:rPr>
          <w:rFonts w:ascii="仿宋" w:hAnsi="仿宋" w:eastAsia="仿宋"/>
          <w:sz w:val="32"/>
          <w:szCs w:val="32"/>
        </w:rPr>
        <w:t>具有完全民事行为能力。</w:t>
      </w:r>
    </w:p>
    <w:p w14:paraId="25E1640D">
      <w:pPr>
        <w:rPr>
          <w:rFonts w:ascii="仿宋" w:hAnsi="仿宋" w:eastAsia="仿宋"/>
          <w:sz w:val="32"/>
          <w:szCs w:val="32"/>
        </w:rPr>
      </w:pPr>
      <w:r>
        <w:rPr>
          <w:rFonts w:ascii="仿宋" w:hAnsi="仿宋" w:eastAsia="仿宋"/>
          <w:sz w:val="32"/>
          <w:szCs w:val="32"/>
        </w:rPr>
        <w:t>　　第二十</w:t>
      </w:r>
      <w:r>
        <w:rPr>
          <w:rFonts w:hint="eastAsia" w:ascii="仿宋" w:hAnsi="仿宋" w:eastAsia="仿宋"/>
          <w:sz w:val="32"/>
          <w:szCs w:val="32"/>
          <w:lang w:val="en-US" w:eastAsia="zh-CN"/>
        </w:rPr>
        <w:t>三</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会长、副会长、秘书长如超过最高任职年龄的，须经理事会表决通过，报业务主管单位审查并社团登记管理机关批准同意后，方可任职。</w:t>
      </w:r>
      <w:r>
        <w:rPr>
          <w:rFonts w:ascii="仿宋" w:hAnsi="仿宋" w:eastAsia="仿宋"/>
          <w:sz w:val="32"/>
          <w:szCs w:val="32"/>
        </w:rPr>
        <w:br w:type="textWrapping"/>
      </w:r>
      <w:r>
        <w:rPr>
          <w:rFonts w:ascii="仿宋" w:hAnsi="仿宋" w:eastAsia="仿宋"/>
          <w:sz w:val="32"/>
          <w:szCs w:val="32"/>
        </w:rPr>
        <w:t>　　第二十</w:t>
      </w:r>
      <w:r>
        <w:rPr>
          <w:rFonts w:hint="eastAsia" w:ascii="仿宋" w:hAnsi="仿宋" w:eastAsia="仿宋"/>
          <w:sz w:val="32"/>
          <w:szCs w:val="32"/>
          <w:lang w:val="en-US" w:eastAsia="zh-CN"/>
        </w:rPr>
        <w:t>四</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会长、副会长、秘书长任期</w:t>
      </w:r>
      <w:r>
        <w:rPr>
          <w:rFonts w:hint="eastAsia" w:ascii="仿宋" w:hAnsi="仿宋" w:eastAsia="仿宋"/>
          <w:sz w:val="32"/>
          <w:szCs w:val="32"/>
        </w:rPr>
        <w:t>3</w:t>
      </w:r>
      <w:r>
        <w:rPr>
          <w:rFonts w:ascii="仿宋" w:hAnsi="仿宋" w:eastAsia="仿宋"/>
          <w:sz w:val="32"/>
          <w:szCs w:val="32"/>
        </w:rPr>
        <w:t>年。〔会长、副会长、秘书长任期最长不得超过两届〕因特殊情况需延长任期的，须经会员大会2/3以上会员表决通过，报业务主管单位审查并经社团登记管理机关批准同意后方可任职。</w:t>
      </w:r>
    </w:p>
    <w:p w14:paraId="4F86ACC1">
      <w:pPr>
        <w:ind w:firstLine="64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val="en-US" w:eastAsia="zh-CN"/>
        </w:rPr>
        <w:t>五</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hint="eastAsia" w:ascii="仿宋" w:hAnsi="仿宋" w:eastAsia="仿宋"/>
          <w:sz w:val="32"/>
          <w:szCs w:val="32"/>
        </w:rPr>
        <w:t>会</w:t>
      </w:r>
      <w:r>
        <w:rPr>
          <w:rFonts w:ascii="仿宋" w:hAnsi="仿宋" w:eastAsia="仿宋"/>
          <w:sz w:val="32"/>
          <w:szCs w:val="32"/>
        </w:rPr>
        <w:t>长为</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法定代表人。</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法定人不兼任其他团体的法定代表人。</w:t>
      </w:r>
    </w:p>
    <w:p w14:paraId="28B88DAD">
      <w:pPr>
        <w:rPr>
          <w:rFonts w:ascii="仿宋" w:hAnsi="仿宋" w:eastAsia="仿宋"/>
          <w:sz w:val="32"/>
          <w:szCs w:val="32"/>
        </w:rPr>
      </w:pPr>
      <w:r>
        <w:rPr>
          <w:rFonts w:ascii="仿宋" w:hAnsi="仿宋" w:eastAsia="仿宋"/>
          <w:sz w:val="32"/>
          <w:szCs w:val="32"/>
        </w:rPr>
        <w:t>　　第二十</w:t>
      </w:r>
      <w:r>
        <w:rPr>
          <w:rFonts w:hint="eastAsia" w:ascii="仿宋" w:hAnsi="仿宋" w:eastAsia="仿宋"/>
          <w:sz w:val="32"/>
          <w:szCs w:val="32"/>
          <w:lang w:val="en-US" w:eastAsia="zh-CN"/>
        </w:rPr>
        <w:t>六</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会长行使下列职权：</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highlight w:val="none"/>
          <w:lang w:eastAsia="zh-CN"/>
        </w:rPr>
        <w:t>（</w:t>
      </w:r>
      <w:r>
        <w:rPr>
          <w:rFonts w:ascii="仿宋" w:hAnsi="仿宋" w:eastAsia="仿宋"/>
          <w:sz w:val="32"/>
          <w:szCs w:val="32"/>
        </w:rPr>
        <w:t>一</w:t>
      </w:r>
      <w:r>
        <w:rPr>
          <w:rFonts w:hint="eastAsia" w:ascii="仿宋" w:hAnsi="仿宋" w:eastAsia="仿宋"/>
          <w:sz w:val="32"/>
          <w:szCs w:val="32"/>
          <w:highlight w:val="none"/>
          <w:lang w:eastAsia="zh-CN"/>
        </w:rPr>
        <w:t>）</w:t>
      </w:r>
      <w:r>
        <w:rPr>
          <w:rFonts w:hint="eastAsia" w:ascii="仿宋" w:hAnsi="仿宋" w:eastAsia="仿宋"/>
          <w:sz w:val="32"/>
          <w:szCs w:val="32"/>
        </w:rPr>
        <w:t xml:space="preserve"> </w:t>
      </w:r>
      <w:r>
        <w:rPr>
          <w:rFonts w:ascii="仿宋" w:hAnsi="仿宋" w:eastAsia="仿宋"/>
          <w:sz w:val="32"/>
          <w:szCs w:val="32"/>
        </w:rPr>
        <w:t>召集和主持理事会；</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highlight w:val="none"/>
          <w:lang w:eastAsia="zh-CN"/>
        </w:rPr>
        <w:t>（</w:t>
      </w:r>
      <w:r>
        <w:rPr>
          <w:rFonts w:ascii="仿宋" w:hAnsi="仿宋" w:eastAsia="仿宋"/>
          <w:sz w:val="32"/>
          <w:szCs w:val="32"/>
        </w:rPr>
        <w:t>二</w:t>
      </w:r>
      <w:r>
        <w:rPr>
          <w:rFonts w:hint="eastAsia" w:ascii="仿宋" w:hAnsi="仿宋" w:eastAsia="仿宋"/>
          <w:sz w:val="32"/>
          <w:szCs w:val="32"/>
          <w:highlight w:val="none"/>
          <w:lang w:eastAsia="zh-CN"/>
        </w:rPr>
        <w:t>）</w:t>
      </w:r>
      <w:r>
        <w:rPr>
          <w:rFonts w:hint="eastAsia" w:ascii="仿宋" w:hAnsi="仿宋" w:eastAsia="仿宋"/>
          <w:sz w:val="32"/>
          <w:szCs w:val="32"/>
        </w:rPr>
        <w:t xml:space="preserve"> </w:t>
      </w:r>
      <w:r>
        <w:rPr>
          <w:rFonts w:ascii="仿宋" w:hAnsi="仿宋" w:eastAsia="仿宋"/>
          <w:sz w:val="32"/>
          <w:szCs w:val="32"/>
        </w:rPr>
        <w:t>检查会员大会、理事会决议的落实情况；</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highlight w:val="none"/>
          <w:lang w:eastAsia="zh-CN"/>
        </w:rPr>
        <w:t>（</w:t>
      </w:r>
      <w:r>
        <w:rPr>
          <w:rFonts w:ascii="仿宋" w:hAnsi="仿宋" w:eastAsia="仿宋"/>
          <w:sz w:val="32"/>
          <w:szCs w:val="32"/>
        </w:rPr>
        <w:t>三</w:t>
      </w:r>
      <w:r>
        <w:rPr>
          <w:rFonts w:hint="eastAsia" w:ascii="仿宋" w:hAnsi="仿宋" w:eastAsia="仿宋"/>
          <w:sz w:val="32"/>
          <w:szCs w:val="32"/>
          <w:highlight w:val="none"/>
          <w:lang w:eastAsia="zh-CN"/>
        </w:rPr>
        <w:t>）</w:t>
      </w:r>
      <w:r>
        <w:rPr>
          <w:rFonts w:hint="eastAsia" w:ascii="仿宋" w:hAnsi="仿宋" w:eastAsia="仿宋"/>
          <w:sz w:val="32"/>
          <w:szCs w:val="32"/>
        </w:rPr>
        <w:t xml:space="preserve"> </w:t>
      </w:r>
      <w:r>
        <w:rPr>
          <w:rFonts w:ascii="仿宋" w:hAnsi="仿宋" w:eastAsia="仿宋"/>
          <w:sz w:val="32"/>
          <w:szCs w:val="32"/>
        </w:rPr>
        <w:t>代表</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签署有关重要文件。</w:t>
      </w:r>
    </w:p>
    <w:p w14:paraId="21287962">
      <w:pPr>
        <w:ind w:firstLine="63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val="en-US" w:eastAsia="zh-CN"/>
        </w:rPr>
        <w:t>二十七</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秘书长行使下列职权：</w:t>
      </w:r>
    </w:p>
    <w:p w14:paraId="7C609E9A">
      <w:pPr>
        <w:ind w:firstLine="640" w:firstLineChars="200"/>
        <w:rPr>
          <w:rFonts w:ascii="仿宋" w:hAnsi="仿宋" w:eastAsia="仿宋"/>
          <w:sz w:val="32"/>
          <w:szCs w:val="32"/>
        </w:rPr>
      </w:pPr>
      <w:r>
        <w:rPr>
          <w:rFonts w:hint="eastAsia" w:ascii="仿宋" w:hAnsi="仿宋" w:eastAsia="仿宋"/>
          <w:sz w:val="32"/>
          <w:szCs w:val="32"/>
          <w:highlight w:val="none"/>
          <w:lang w:eastAsia="zh-CN"/>
        </w:rPr>
        <w:t>（</w:t>
      </w:r>
      <w:r>
        <w:rPr>
          <w:rFonts w:ascii="仿宋" w:hAnsi="仿宋" w:eastAsia="仿宋"/>
          <w:sz w:val="32"/>
          <w:szCs w:val="32"/>
        </w:rPr>
        <w:t>一</w:t>
      </w:r>
      <w:r>
        <w:rPr>
          <w:rFonts w:hint="eastAsia" w:ascii="仿宋" w:hAnsi="仿宋" w:eastAsia="仿宋"/>
          <w:sz w:val="32"/>
          <w:szCs w:val="32"/>
          <w:highlight w:val="none"/>
          <w:lang w:eastAsia="zh-CN"/>
        </w:rPr>
        <w:t>）</w:t>
      </w:r>
      <w:r>
        <w:rPr>
          <w:rFonts w:hint="eastAsia" w:ascii="仿宋" w:hAnsi="仿宋" w:eastAsia="仿宋"/>
          <w:sz w:val="32"/>
          <w:szCs w:val="32"/>
        </w:rPr>
        <w:t xml:space="preserve"> </w:t>
      </w:r>
      <w:r>
        <w:rPr>
          <w:rFonts w:ascii="仿宋" w:hAnsi="仿宋" w:eastAsia="仿宋"/>
          <w:sz w:val="32"/>
          <w:szCs w:val="32"/>
        </w:rPr>
        <w:t>主持办事机构开展日常工作，组织实施年度工作计划；</w:t>
      </w:r>
    </w:p>
    <w:p w14:paraId="08CDD1AC">
      <w:pPr>
        <w:ind w:firstLine="640" w:firstLineChars="200"/>
        <w:rPr>
          <w:rFonts w:ascii="仿宋" w:hAnsi="仿宋" w:eastAsia="仿宋"/>
          <w:sz w:val="32"/>
          <w:szCs w:val="32"/>
        </w:rPr>
      </w:pPr>
      <w:r>
        <w:rPr>
          <w:rFonts w:hint="eastAsia" w:ascii="仿宋" w:hAnsi="仿宋" w:eastAsia="仿宋"/>
          <w:sz w:val="32"/>
          <w:szCs w:val="32"/>
          <w:highlight w:val="none"/>
          <w:lang w:eastAsia="zh-CN"/>
        </w:rPr>
        <w:t>（</w:t>
      </w:r>
      <w:r>
        <w:rPr>
          <w:rFonts w:ascii="仿宋" w:hAnsi="仿宋" w:eastAsia="仿宋"/>
          <w:sz w:val="32"/>
          <w:szCs w:val="32"/>
        </w:rPr>
        <w:t>二</w:t>
      </w:r>
      <w:r>
        <w:rPr>
          <w:rFonts w:hint="eastAsia" w:ascii="仿宋" w:hAnsi="仿宋" w:eastAsia="仿宋"/>
          <w:sz w:val="32"/>
          <w:szCs w:val="32"/>
          <w:highlight w:val="none"/>
          <w:lang w:eastAsia="zh-CN"/>
        </w:rPr>
        <w:t>）</w:t>
      </w:r>
      <w:r>
        <w:rPr>
          <w:rFonts w:hint="eastAsia" w:ascii="仿宋" w:hAnsi="仿宋" w:eastAsia="仿宋"/>
          <w:sz w:val="32"/>
          <w:szCs w:val="32"/>
        </w:rPr>
        <w:t xml:space="preserve"> </w:t>
      </w:r>
      <w:r>
        <w:rPr>
          <w:rFonts w:ascii="仿宋" w:hAnsi="仿宋" w:eastAsia="仿宋"/>
          <w:sz w:val="32"/>
          <w:szCs w:val="32"/>
        </w:rPr>
        <w:t>协调各分支机构、代表机构、实体机构开展工作；</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sz w:val="32"/>
          <w:szCs w:val="32"/>
          <w:highlight w:val="none"/>
          <w:lang w:eastAsia="zh-CN"/>
        </w:rPr>
        <w:t>（</w:t>
      </w:r>
      <w:r>
        <w:rPr>
          <w:rFonts w:ascii="仿宋" w:hAnsi="仿宋" w:eastAsia="仿宋"/>
          <w:sz w:val="32"/>
          <w:szCs w:val="32"/>
        </w:rPr>
        <w:t>三</w:t>
      </w:r>
      <w:r>
        <w:rPr>
          <w:rFonts w:hint="eastAsia" w:ascii="仿宋" w:hAnsi="仿宋" w:eastAsia="仿宋"/>
          <w:sz w:val="32"/>
          <w:szCs w:val="32"/>
          <w:highlight w:val="none"/>
          <w:lang w:eastAsia="zh-CN"/>
        </w:rPr>
        <w:t>）</w:t>
      </w:r>
      <w:r>
        <w:rPr>
          <w:rFonts w:hint="eastAsia" w:ascii="仿宋" w:hAnsi="仿宋" w:eastAsia="仿宋"/>
          <w:sz w:val="32"/>
          <w:szCs w:val="32"/>
        </w:rPr>
        <w:t xml:space="preserve"> </w:t>
      </w:r>
      <w:r>
        <w:rPr>
          <w:rFonts w:ascii="仿宋" w:hAnsi="仿宋" w:eastAsia="仿宋"/>
          <w:sz w:val="32"/>
          <w:szCs w:val="32"/>
        </w:rPr>
        <w:t>提名副秘书长以及各办事机构、分支机构、代表机构和实体机构主要负责人，交理事会决定；</w:t>
      </w:r>
      <w:r>
        <w:rPr>
          <w:rFonts w:ascii="仿宋" w:hAnsi="仿宋" w:eastAsia="仿宋"/>
          <w:sz w:val="32"/>
          <w:szCs w:val="32"/>
        </w:rPr>
        <w:br w:type="textWrapping"/>
      </w:r>
      <w:r>
        <w:rPr>
          <w:rFonts w:hint="eastAsia" w:ascii="仿宋" w:hAnsi="仿宋" w:eastAsia="仿宋"/>
          <w:sz w:val="32"/>
          <w:szCs w:val="32"/>
        </w:rPr>
        <w:t xml:space="preserve">   （四）</w:t>
      </w:r>
      <w:r>
        <w:rPr>
          <w:rFonts w:ascii="仿宋" w:hAnsi="仿宋" w:eastAsia="仿宋"/>
          <w:sz w:val="32"/>
          <w:szCs w:val="32"/>
        </w:rPr>
        <w:t>决定办事机构、代表机构、实体机构专职工作人员的聘用；</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 xml:space="preserve"> （五）</w:t>
      </w:r>
      <w:r>
        <w:rPr>
          <w:rFonts w:ascii="仿宋" w:hAnsi="仿宋" w:eastAsia="仿宋"/>
          <w:sz w:val="32"/>
          <w:szCs w:val="32"/>
        </w:rPr>
        <w:t>处理其他日常事务。</w:t>
      </w:r>
    </w:p>
    <w:p w14:paraId="7CFC383E">
      <w:pPr>
        <w:tabs>
          <w:tab w:val="left" w:pos="2340"/>
        </w:tabs>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二十八</w:t>
      </w:r>
      <w:r>
        <w:rPr>
          <w:rFonts w:hint="eastAsia" w:ascii="仿宋" w:hAnsi="仿宋" w:eastAsia="仿宋" w:cs="仿宋"/>
          <w:color w:val="000000"/>
          <w:sz w:val="32"/>
          <w:szCs w:val="32"/>
        </w:rPr>
        <w:t xml:space="preserve">条 </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cs="仿宋"/>
          <w:color w:val="000000"/>
          <w:sz w:val="32"/>
          <w:szCs w:val="32"/>
        </w:rPr>
        <w:t>设监事会。监事会由</w:t>
      </w:r>
      <w:r>
        <w:rPr>
          <w:rFonts w:hint="eastAsia" w:ascii="仿宋" w:hAnsi="仿宋" w:eastAsia="仿宋" w:cs="仿宋"/>
          <w:color w:val="000000"/>
          <w:sz w:val="32"/>
          <w:szCs w:val="32"/>
          <w:u w:val="single"/>
        </w:rPr>
        <w:t xml:space="preserve">  3 </w:t>
      </w:r>
      <w:r>
        <w:rPr>
          <w:rFonts w:hint="eastAsia" w:ascii="仿宋" w:hAnsi="仿宋" w:eastAsia="仿宋" w:cs="仿宋"/>
          <w:color w:val="000000"/>
          <w:sz w:val="32"/>
          <w:szCs w:val="32"/>
        </w:rPr>
        <w:t>名监事组成，设监事长一名。监事长由监事会选举产生或罢免。</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cs="仿宋"/>
          <w:color w:val="000000"/>
          <w:sz w:val="32"/>
          <w:szCs w:val="32"/>
        </w:rPr>
        <w:t>负责人、理事及财务负责人不得兼任监事。监事会每届任期与理事会相同，监事可以连选连任。</w:t>
      </w:r>
    </w:p>
    <w:p w14:paraId="50D407B9">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二十九</w:t>
      </w:r>
      <w:r>
        <w:rPr>
          <w:rFonts w:hint="eastAsia" w:ascii="仿宋" w:hAnsi="仿宋" w:eastAsia="仿宋" w:cs="仿宋"/>
          <w:color w:val="000000"/>
          <w:sz w:val="32"/>
          <w:szCs w:val="32"/>
        </w:rPr>
        <w:t>条　监事的权利和义务：</w:t>
      </w:r>
    </w:p>
    <w:p w14:paraId="2F8CA941">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（一）向会员大会报告工作；</w:t>
      </w:r>
    </w:p>
    <w:p w14:paraId="3D873045">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（二）监督会员大会和理事会的选举、罢免；监督理事会履行会员大会的决议；</w:t>
      </w:r>
    </w:p>
    <w:p w14:paraId="24B292EA">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（三）检查本会财务和会计资料，向登记管理机关以及税务、会计主管部门反映情况；</w:t>
      </w:r>
    </w:p>
    <w:p w14:paraId="09C3A186">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（四）列席理事会会议，有权向理事会、常务理事会提出质询和建议；</w:t>
      </w:r>
    </w:p>
    <w:p w14:paraId="184181B8">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（五）监督理事会遵守法律和章程的情况。当会长、副会长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理事和秘书长等开展业务活动损害本会利益时，要求其予以纠正，必要时向会员大会或政府相关部门报告。</w:t>
      </w:r>
    </w:p>
    <w:p w14:paraId="517E2AE7">
      <w:pPr>
        <w:tabs>
          <w:tab w:val="left" w:pos="2340"/>
        </w:tabs>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监事应当遵守有关法律法规和</w:t>
      </w:r>
      <w:r>
        <w:rPr>
          <w:rFonts w:hint="eastAsia" w:ascii="仿宋" w:hAnsi="仿宋" w:eastAsia="仿宋"/>
          <w:sz w:val="32"/>
          <w:szCs w:val="32"/>
        </w:rPr>
        <w:t>本</w:t>
      </w:r>
      <w:r>
        <w:rPr>
          <w:rFonts w:hint="eastAsia" w:ascii="仿宋" w:hAnsi="仿宋" w:eastAsia="仿宋"/>
          <w:sz w:val="32"/>
          <w:szCs w:val="32"/>
          <w:lang w:val="en-US" w:eastAsia="zh-CN"/>
        </w:rPr>
        <w:t>协会</w:t>
      </w:r>
      <w:r>
        <w:rPr>
          <w:rFonts w:hint="eastAsia" w:ascii="仿宋" w:hAnsi="仿宋" w:eastAsia="仿宋" w:cs="仿宋"/>
          <w:color w:val="000000"/>
          <w:sz w:val="32"/>
          <w:szCs w:val="32"/>
        </w:rPr>
        <w:t>章程，接受会员大会领导，切实履行职责。</w:t>
      </w:r>
    </w:p>
    <w:p w14:paraId="3290E31D">
      <w:pPr>
        <w:jc w:val="center"/>
        <w:rPr>
          <w:rFonts w:ascii="仿宋" w:hAnsi="仿宋" w:eastAsia="仿宋"/>
          <w:sz w:val="32"/>
          <w:szCs w:val="32"/>
        </w:rPr>
      </w:pPr>
      <w:r>
        <w:rPr>
          <w:rFonts w:ascii="仿宋" w:hAnsi="仿宋" w:eastAsia="仿宋"/>
          <w:b/>
          <w:sz w:val="32"/>
          <w:szCs w:val="32"/>
        </w:rPr>
        <w:t>第五章</w:t>
      </w:r>
      <w:r>
        <w:rPr>
          <w:rFonts w:hint="eastAsia" w:ascii="仿宋" w:hAnsi="仿宋" w:eastAsia="仿宋"/>
          <w:b/>
          <w:sz w:val="32"/>
          <w:szCs w:val="32"/>
        </w:rPr>
        <w:t xml:space="preserve"> </w:t>
      </w:r>
      <w:r>
        <w:rPr>
          <w:rFonts w:ascii="仿宋" w:hAnsi="仿宋" w:eastAsia="仿宋"/>
          <w:b/>
          <w:sz w:val="32"/>
          <w:szCs w:val="32"/>
        </w:rPr>
        <w:t>资产管理、使用原则</w:t>
      </w:r>
    </w:p>
    <w:p w14:paraId="4350E0DA">
      <w:pPr>
        <w:ind w:firstLine="640" w:firstLineChars="200"/>
        <w:rPr>
          <w:rFonts w:ascii="仿宋" w:hAnsi="仿宋" w:eastAsia="仿宋"/>
          <w:sz w:val="32"/>
          <w:szCs w:val="32"/>
        </w:rPr>
      </w:pPr>
      <w:r>
        <w:rPr>
          <w:rFonts w:ascii="仿宋" w:hAnsi="仿宋" w:eastAsia="仿宋"/>
          <w:sz w:val="32"/>
          <w:szCs w:val="32"/>
        </w:rPr>
        <w:t>第三十条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经费来源：</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（一）</w:t>
      </w:r>
      <w:r>
        <w:rPr>
          <w:rFonts w:ascii="仿宋" w:hAnsi="仿宋" w:eastAsia="仿宋"/>
          <w:sz w:val="32"/>
          <w:szCs w:val="32"/>
        </w:rPr>
        <w:t>会费；</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（二）</w:t>
      </w:r>
      <w:r>
        <w:rPr>
          <w:rFonts w:ascii="仿宋" w:hAnsi="仿宋" w:eastAsia="仿宋"/>
          <w:sz w:val="32"/>
          <w:szCs w:val="32"/>
        </w:rPr>
        <w:t>捐赠；</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（三）</w:t>
      </w:r>
      <w:r>
        <w:rPr>
          <w:rFonts w:ascii="仿宋" w:hAnsi="仿宋" w:eastAsia="仿宋"/>
          <w:sz w:val="32"/>
          <w:szCs w:val="32"/>
        </w:rPr>
        <w:t>政府资助；</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（四）</w:t>
      </w:r>
      <w:r>
        <w:rPr>
          <w:rFonts w:ascii="仿宋" w:hAnsi="仿宋" w:eastAsia="仿宋"/>
          <w:sz w:val="32"/>
          <w:szCs w:val="32"/>
        </w:rPr>
        <w:t>在核准的业务范围内开展活动或服务的收入；</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（五）</w:t>
      </w:r>
      <w:r>
        <w:rPr>
          <w:rFonts w:ascii="仿宋" w:hAnsi="仿宋" w:eastAsia="仿宋"/>
          <w:sz w:val="32"/>
          <w:szCs w:val="32"/>
        </w:rPr>
        <w:t>利息；</w:t>
      </w:r>
      <w:r>
        <w:rPr>
          <w:rFonts w:ascii="仿宋" w:hAnsi="仿宋" w:eastAsia="仿宋"/>
          <w:sz w:val="32"/>
          <w:szCs w:val="32"/>
        </w:rPr>
        <w:br w:type="textWrapping"/>
      </w:r>
      <w:r>
        <w:rPr>
          <w:rFonts w:ascii="仿宋" w:hAnsi="仿宋" w:eastAsia="仿宋"/>
          <w:sz w:val="32"/>
          <w:szCs w:val="32"/>
        </w:rPr>
        <w:t>　</w:t>
      </w:r>
      <w:r>
        <w:rPr>
          <w:rFonts w:hint="eastAsia" w:ascii="仿宋" w:hAnsi="仿宋" w:eastAsia="仿宋"/>
          <w:sz w:val="32"/>
          <w:szCs w:val="32"/>
        </w:rPr>
        <w:t xml:space="preserve">  （六）</w:t>
      </w:r>
      <w:r>
        <w:rPr>
          <w:rFonts w:ascii="仿宋" w:hAnsi="仿宋" w:eastAsia="仿宋"/>
          <w:sz w:val="32"/>
          <w:szCs w:val="32"/>
        </w:rPr>
        <w:t>其他合法收入。</w:t>
      </w:r>
    </w:p>
    <w:p w14:paraId="18F51A2F">
      <w:pPr>
        <w:rPr>
          <w:rFonts w:ascii="仿宋" w:hAnsi="仿宋" w:eastAsia="仿宋"/>
          <w:sz w:val="32"/>
          <w:szCs w:val="32"/>
        </w:rPr>
      </w:pPr>
      <w:r>
        <w:rPr>
          <w:rFonts w:ascii="仿宋" w:hAnsi="仿宋" w:eastAsia="仿宋"/>
          <w:sz w:val="32"/>
          <w:szCs w:val="32"/>
        </w:rPr>
        <w:t>　　第三十</w:t>
      </w:r>
      <w:r>
        <w:rPr>
          <w:rFonts w:hint="eastAsia" w:ascii="仿宋" w:hAnsi="仿宋" w:eastAsia="仿宋"/>
          <w:sz w:val="32"/>
          <w:szCs w:val="32"/>
          <w:lang w:val="en-US" w:eastAsia="zh-CN"/>
        </w:rPr>
        <w:t>一</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按照国家有关规定收取会员会费。</w:t>
      </w:r>
      <w:r>
        <w:rPr>
          <w:rFonts w:hint="eastAsia" w:ascii="仿宋" w:hAnsi="仿宋" w:eastAsia="仿宋"/>
          <w:sz w:val="32"/>
          <w:szCs w:val="32"/>
        </w:rPr>
        <w:t>收取会费，应当严格按照民政部、财政部相关规定执行，社会团体会费标准的制定或修改须经会员大会讨论，其决议须经会员半数以上无记名投票表决通过方能生效。不得采用除会员大会以外任何其他形式制定或修改会费标准，会员大会不得采用通讯表决方式。</w:t>
      </w:r>
    </w:p>
    <w:p w14:paraId="0D689381">
      <w:pPr>
        <w:ind w:firstLine="66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val="en-US" w:eastAsia="zh-CN"/>
        </w:rPr>
        <w:t>二</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经费必须用于本章程规定的业务范围和事业的发展，不得在会员中分配。</w:t>
      </w:r>
      <w:r>
        <w:rPr>
          <w:rFonts w:ascii="仿宋" w:hAnsi="仿宋" w:eastAsia="仿宋"/>
          <w:sz w:val="32"/>
          <w:szCs w:val="32"/>
        </w:rPr>
        <w:br w:type="textWrapping"/>
      </w:r>
      <w:r>
        <w:rPr>
          <w:rFonts w:ascii="仿宋" w:hAnsi="仿宋" w:eastAsia="仿宋"/>
          <w:sz w:val="32"/>
          <w:szCs w:val="32"/>
        </w:rPr>
        <w:t>　　第三十</w:t>
      </w:r>
      <w:r>
        <w:rPr>
          <w:rFonts w:hint="eastAsia" w:ascii="仿宋" w:hAnsi="仿宋" w:eastAsia="仿宋"/>
          <w:sz w:val="32"/>
          <w:szCs w:val="32"/>
          <w:lang w:val="en-US" w:eastAsia="zh-CN"/>
        </w:rPr>
        <w:t>三</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建立严格的财务管理制度，保证会计资料合法、真实、准确、完整。</w:t>
      </w:r>
      <w:r>
        <w:rPr>
          <w:rFonts w:ascii="仿宋" w:hAnsi="仿宋" w:eastAsia="仿宋"/>
          <w:sz w:val="32"/>
          <w:szCs w:val="32"/>
        </w:rPr>
        <w:br w:type="textWrapping"/>
      </w:r>
      <w:r>
        <w:rPr>
          <w:rFonts w:ascii="仿宋" w:hAnsi="仿宋" w:eastAsia="仿宋"/>
          <w:sz w:val="32"/>
          <w:szCs w:val="32"/>
        </w:rPr>
        <w:t>　　第三十</w:t>
      </w:r>
      <w:r>
        <w:rPr>
          <w:rFonts w:hint="eastAsia" w:ascii="仿宋" w:hAnsi="仿宋" w:eastAsia="仿宋"/>
          <w:sz w:val="32"/>
          <w:szCs w:val="32"/>
          <w:lang w:val="en-US" w:eastAsia="zh-CN"/>
        </w:rPr>
        <w:t>四</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配备具有专业资格的会计人员。会计不得兼任出纳。会计人员必须进行会计核算，实行会计监督。会计人员调动工作或离职时，必须与接管人员办清交接手续。</w:t>
      </w:r>
      <w:r>
        <w:rPr>
          <w:rFonts w:ascii="仿宋" w:hAnsi="仿宋" w:eastAsia="仿宋"/>
          <w:sz w:val="32"/>
          <w:szCs w:val="32"/>
        </w:rPr>
        <w:br w:type="textWrapping"/>
      </w:r>
      <w:r>
        <w:rPr>
          <w:rFonts w:ascii="仿宋" w:hAnsi="仿宋" w:eastAsia="仿宋"/>
          <w:sz w:val="32"/>
          <w:szCs w:val="32"/>
        </w:rPr>
        <w:t>　　第三十</w:t>
      </w:r>
      <w:r>
        <w:rPr>
          <w:rFonts w:hint="eastAsia" w:ascii="仿宋" w:hAnsi="仿宋" w:eastAsia="仿宋"/>
          <w:sz w:val="32"/>
          <w:szCs w:val="32"/>
          <w:lang w:val="en-US" w:eastAsia="zh-CN"/>
        </w:rPr>
        <w:t>五</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的资产管理必须执行国家规定的财务管理制度，接受会员大会和财政部门的监督。资产采源属于国家拨款或者社会捐赠、资助的，必须接受审计机关的监督，并将有关情况以适当方式向社会公布。</w:t>
      </w:r>
    </w:p>
    <w:p w14:paraId="6FD28B88">
      <w:pPr>
        <w:ind w:firstLine="66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val="en-US" w:eastAsia="zh-CN"/>
        </w:rPr>
        <w:t>三十六</w:t>
      </w:r>
      <w:r>
        <w:rPr>
          <w:rFonts w:ascii="仿宋" w:hAnsi="仿宋" w:eastAsia="仿宋"/>
          <w:sz w:val="32"/>
          <w:szCs w:val="32"/>
        </w:rPr>
        <w:t xml:space="preserve">条 </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换届或更换法定代表人之前必须接受社团登记管理机关和业务主管单位组织的财务审计。</w:t>
      </w:r>
    </w:p>
    <w:p w14:paraId="4D44714D">
      <w:pPr>
        <w:rPr>
          <w:rFonts w:ascii="仿宋" w:hAnsi="仿宋" w:eastAsia="仿宋"/>
          <w:sz w:val="32"/>
          <w:szCs w:val="32"/>
        </w:rPr>
      </w:pPr>
      <w:r>
        <w:rPr>
          <w:rFonts w:ascii="仿宋" w:hAnsi="仿宋" w:eastAsia="仿宋"/>
          <w:sz w:val="32"/>
          <w:szCs w:val="32"/>
        </w:rPr>
        <w:t>　　第</w:t>
      </w:r>
      <w:r>
        <w:rPr>
          <w:rFonts w:hint="eastAsia" w:ascii="仿宋" w:hAnsi="仿宋" w:eastAsia="仿宋"/>
          <w:sz w:val="32"/>
          <w:szCs w:val="32"/>
          <w:lang w:val="en-US" w:eastAsia="zh-CN"/>
        </w:rPr>
        <w:t>三十七</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的资产，任何单位、个人不得侵占、私分和挪用。</w:t>
      </w:r>
    </w:p>
    <w:p w14:paraId="7503E3AB">
      <w:pPr>
        <w:rPr>
          <w:rFonts w:ascii="仿宋" w:hAnsi="仿宋" w:eastAsia="仿宋"/>
          <w:b/>
          <w:sz w:val="32"/>
          <w:szCs w:val="32"/>
        </w:rPr>
      </w:pPr>
      <w:r>
        <w:rPr>
          <w:rFonts w:ascii="仿宋" w:hAnsi="仿宋" w:eastAsia="仿宋"/>
          <w:sz w:val="32"/>
          <w:szCs w:val="32"/>
        </w:rPr>
        <w:t>　　第</w:t>
      </w:r>
      <w:r>
        <w:rPr>
          <w:rFonts w:hint="eastAsia" w:ascii="仿宋" w:hAnsi="仿宋" w:eastAsia="仿宋"/>
          <w:sz w:val="32"/>
          <w:szCs w:val="32"/>
          <w:lang w:val="en-US" w:eastAsia="zh-CN"/>
        </w:rPr>
        <w:t>三十八</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专职工作人员的工资和保险、福利待遇，参照国家对事业单位的有关规定执行。</w:t>
      </w:r>
    </w:p>
    <w:p w14:paraId="7993E47A">
      <w:pPr>
        <w:jc w:val="center"/>
        <w:rPr>
          <w:rFonts w:ascii="仿宋" w:hAnsi="仿宋" w:eastAsia="仿宋"/>
          <w:b/>
          <w:sz w:val="32"/>
          <w:szCs w:val="32"/>
        </w:rPr>
      </w:pPr>
      <w:r>
        <w:rPr>
          <w:rFonts w:ascii="仿宋" w:hAnsi="仿宋" w:eastAsia="仿宋"/>
          <w:b/>
          <w:sz w:val="32"/>
          <w:szCs w:val="32"/>
        </w:rPr>
        <w:t>第六章</w:t>
      </w:r>
      <w:r>
        <w:rPr>
          <w:rFonts w:hint="eastAsia" w:ascii="仿宋" w:hAnsi="仿宋" w:eastAsia="仿宋"/>
          <w:b/>
          <w:sz w:val="32"/>
          <w:szCs w:val="32"/>
        </w:rPr>
        <w:t xml:space="preserve"> </w:t>
      </w:r>
      <w:r>
        <w:rPr>
          <w:rFonts w:ascii="仿宋" w:hAnsi="仿宋" w:eastAsia="仿宋"/>
          <w:b/>
          <w:sz w:val="32"/>
          <w:szCs w:val="32"/>
        </w:rPr>
        <w:t>章程的修改程序</w:t>
      </w:r>
    </w:p>
    <w:p w14:paraId="373A386E">
      <w:pPr>
        <w:rPr>
          <w:rFonts w:ascii="仿宋" w:hAnsi="仿宋" w:eastAsia="仿宋"/>
          <w:sz w:val="32"/>
          <w:szCs w:val="32"/>
        </w:rPr>
      </w:pPr>
      <w:r>
        <w:rPr>
          <w:rFonts w:ascii="仿宋" w:hAnsi="仿宋" w:eastAsia="仿宋"/>
          <w:sz w:val="32"/>
          <w:szCs w:val="32"/>
        </w:rPr>
        <w:t>　　第</w:t>
      </w:r>
      <w:r>
        <w:rPr>
          <w:rFonts w:hint="eastAsia" w:ascii="仿宋" w:hAnsi="仿宋" w:eastAsia="仿宋"/>
          <w:sz w:val="32"/>
          <w:szCs w:val="32"/>
          <w:lang w:val="en-US" w:eastAsia="zh-CN"/>
        </w:rPr>
        <w:t>三十九</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对</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章程的修改，须经理事会表决通过后报会员大会审议。</w:t>
      </w:r>
      <w:r>
        <w:rPr>
          <w:rFonts w:ascii="仿宋" w:hAnsi="仿宋" w:eastAsia="仿宋"/>
          <w:sz w:val="32"/>
          <w:szCs w:val="32"/>
        </w:rPr>
        <w:br w:type="textWrapping"/>
      </w:r>
      <w:r>
        <w:rPr>
          <w:rFonts w:ascii="仿宋" w:hAnsi="仿宋" w:eastAsia="仿宋"/>
          <w:sz w:val="32"/>
          <w:szCs w:val="32"/>
        </w:rPr>
        <w:t>　　第四十条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修改的章程，须在会员大会通过后15日内，经业务主管单位审查同意，并报社团登记管理机关核准后生效。</w:t>
      </w:r>
    </w:p>
    <w:p w14:paraId="2855B246">
      <w:pPr>
        <w:jc w:val="center"/>
        <w:rPr>
          <w:rFonts w:ascii="仿宋" w:hAnsi="仿宋" w:eastAsia="仿宋"/>
          <w:b/>
          <w:sz w:val="32"/>
          <w:szCs w:val="32"/>
        </w:rPr>
      </w:pPr>
      <w:r>
        <w:rPr>
          <w:rFonts w:ascii="仿宋" w:hAnsi="仿宋" w:eastAsia="仿宋"/>
          <w:b/>
          <w:sz w:val="32"/>
          <w:szCs w:val="32"/>
        </w:rPr>
        <w:t>第七章</w:t>
      </w:r>
      <w:r>
        <w:rPr>
          <w:rFonts w:hint="eastAsia" w:ascii="仿宋" w:hAnsi="仿宋" w:eastAsia="仿宋"/>
          <w:b/>
          <w:sz w:val="32"/>
          <w:szCs w:val="32"/>
        </w:rPr>
        <w:t xml:space="preserve"> </w:t>
      </w:r>
      <w:r>
        <w:rPr>
          <w:rFonts w:ascii="仿宋" w:hAnsi="仿宋" w:eastAsia="仿宋"/>
          <w:b/>
          <w:sz w:val="32"/>
          <w:szCs w:val="32"/>
        </w:rPr>
        <w:t>终止程序及终止后的财产处理</w:t>
      </w:r>
    </w:p>
    <w:p w14:paraId="68E84AE3">
      <w:pPr>
        <w:rPr>
          <w:rFonts w:ascii="仿宋" w:hAnsi="仿宋" w:eastAsia="仿宋"/>
          <w:sz w:val="32"/>
          <w:szCs w:val="32"/>
        </w:rPr>
      </w:pPr>
      <w:r>
        <w:rPr>
          <w:rFonts w:ascii="仿宋" w:hAnsi="仿宋" w:eastAsia="仿宋"/>
          <w:sz w:val="32"/>
          <w:szCs w:val="32"/>
        </w:rPr>
        <w:t>　　第四十</w:t>
      </w:r>
      <w:r>
        <w:rPr>
          <w:rFonts w:hint="eastAsia" w:ascii="仿宋" w:hAnsi="仿宋" w:eastAsia="仿宋"/>
          <w:sz w:val="32"/>
          <w:szCs w:val="32"/>
          <w:lang w:val="en-US" w:eastAsia="zh-CN"/>
        </w:rPr>
        <w:t>一</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完成宗旨或自行解散或由于分立、合并等原因需要注销的，由理事会或常务理事会提出终止动议。</w:t>
      </w:r>
    </w:p>
    <w:p w14:paraId="09C1FDDD">
      <w:pPr>
        <w:rPr>
          <w:rFonts w:ascii="仿宋" w:hAnsi="仿宋" w:eastAsia="仿宋"/>
          <w:sz w:val="32"/>
          <w:szCs w:val="32"/>
        </w:rPr>
      </w:pPr>
      <w:r>
        <w:rPr>
          <w:rFonts w:ascii="仿宋" w:hAnsi="仿宋" w:eastAsia="仿宋"/>
          <w:sz w:val="32"/>
          <w:szCs w:val="32"/>
        </w:rPr>
        <w:t>　　第四十</w:t>
      </w:r>
      <w:r>
        <w:rPr>
          <w:rFonts w:hint="eastAsia" w:ascii="仿宋" w:hAnsi="仿宋" w:eastAsia="仿宋"/>
          <w:sz w:val="32"/>
          <w:szCs w:val="32"/>
          <w:lang w:val="en-US" w:eastAsia="zh-CN"/>
        </w:rPr>
        <w:t>二</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终止动议须经会员大会表决通过，并报业务主管单位审查同意。</w:t>
      </w:r>
      <w:r>
        <w:rPr>
          <w:rFonts w:ascii="仿宋" w:hAnsi="仿宋" w:eastAsia="仿宋"/>
          <w:sz w:val="32"/>
          <w:szCs w:val="32"/>
        </w:rPr>
        <w:br w:type="textWrapping"/>
      </w:r>
      <w:r>
        <w:rPr>
          <w:rFonts w:ascii="仿宋" w:hAnsi="仿宋" w:eastAsia="仿宋"/>
          <w:sz w:val="32"/>
          <w:szCs w:val="32"/>
        </w:rPr>
        <w:t>　　第四十</w:t>
      </w:r>
      <w:r>
        <w:rPr>
          <w:rFonts w:hint="eastAsia" w:ascii="仿宋" w:hAnsi="仿宋" w:eastAsia="仿宋"/>
          <w:sz w:val="32"/>
          <w:szCs w:val="32"/>
          <w:lang w:val="en-US" w:eastAsia="zh-CN"/>
        </w:rPr>
        <w:t>三</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终止前，须在业务主管单位及有关机关指导下成立清算组织，清理债权债务，处理善后事宜。清算期间，不开展清算以外的活动。</w:t>
      </w:r>
    </w:p>
    <w:p w14:paraId="780C7B5B">
      <w:pPr>
        <w:rPr>
          <w:rFonts w:ascii="仿宋" w:hAnsi="仿宋" w:eastAsia="仿宋"/>
          <w:sz w:val="32"/>
          <w:szCs w:val="32"/>
        </w:rPr>
      </w:pPr>
      <w:r>
        <w:rPr>
          <w:rFonts w:ascii="仿宋" w:hAnsi="仿宋" w:eastAsia="仿宋"/>
          <w:sz w:val="32"/>
          <w:szCs w:val="32"/>
        </w:rPr>
        <w:t>　　第四十</w:t>
      </w:r>
      <w:r>
        <w:rPr>
          <w:rFonts w:hint="eastAsia" w:ascii="仿宋" w:hAnsi="仿宋" w:eastAsia="仿宋"/>
          <w:sz w:val="32"/>
          <w:szCs w:val="32"/>
          <w:lang w:val="en-US" w:eastAsia="zh-CN"/>
        </w:rPr>
        <w:t>四</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经社团登记管理机关办理注销登记手续后即为终止。</w:t>
      </w:r>
    </w:p>
    <w:p w14:paraId="6702019A">
      <w:pPr>
        <w:rPr>
          <w:rFonts w:ascii="仿宋" w:hAnsi="仿宋" w:eastAsia="仿宋"/>
          <w:b/>
          <w:sz w:val="32"/>
          <w:szCs w:val="32"/>
        </w:rPr>
      </w:pPr>
      <w:r>
        <w:rPr>
          <w:rFonts w:ascii="仿宋" w:hAnsi="仿宋" w:eastAsia="仿宋"/>
          <w:sz w:val="32"/>
          <w:szCs w:val="32"/>
        </w:rPr>
        <w:t>　　第四十</w:t>
      </w:r>
      <w:r>
        <w:rPr>
          <w:rFonts w:hint="eastAsia" w:ascii="仿宋" w:hAnsi="仿宋" w:eastAsia="仿宋"/>
          <w:sz w:val="32"/>
          <w:szCs w:val="32"/>
          <w:lang w:val="en-US" w:eastAsia="zh-CN"/>
        </w:rPr>
        <w:t>五</w:t>
      </w:r>
      <w:r>
        <w:rPr>
          <w:rFonts w:ascii="仿宋" w:hAnsi="仿宋" w:eastAsia="仿宋"/>
          <w:sz w:val="32"/>
          <w:szCs w:val="32"/>
        </w:rPr>
        <w:t>条</w:t>
      </w:r>
      <w:r>
        <w:rPr>
          <w:rFonts w:hint="eastAsia" w:ascii="仿宋" w:hAnsi="仿宋" w:eastAsia="仿宋"/>
          <w:sz w:val="32"/>
          <w:szCs w:val="32"/>
        </w:rPr>
        <w:t xml:space="preserve"> 本</w:t>
      </w:r>
      <w:r>
        <w:rPr>
          <w:rFonts w:hint="eastAsia" w:ascii="仿宋" w:hAnsi="仿宋" w:eastAsia="仿宋"/>
          <w:sz w:val="32"/>
          <w:szCs w:val="32"/>
          <w:lang w:val="en-US" w:eastAsia="zh-CN"/>
        </w:rPr>
        <w:t>协会</w:t>
      </w:r>
      <w:r>
        <w:rPr>
          <w:rFonts w:ascii="仿宋" w:hAnsi="仿宋" w:eastAsia="仿宋"/>
          <w:sz w:val="32"/>
          <w:szCs w:val="32"/>
        </w:rPr>
        <w:t>终止后的剩余财产，在业务主管单位和社团登记管理机关的监督下，按照国家有关规定，用于发展与</w:t>
      </w:r>
      <w:r>
        <w:rPr>
          <w:rFonts w:hint="eastAsia" w:ascii="仿宋" w:hAnsi="仿宋" w:eastAsia="仿宋"/>
          <w:sz w:val="32"/>
          <w:szCs w:val="32"/>
        </w:rPr>
        <w:t>本</w:t>
      </w:r>
      <w:r>
        <w:rPr>
          <w:rFonts w:hint="eastAsia" w:ascii="仿宋" w:hAnsi="仿宋" w:eastAsia="仿宋"/>
          <w:sz w:val="32"/>
          <w:szCs w:val="32"/>
          <w:lang w:val="en-US" w:eastAsia="zh-CN"/>
        </w:rPr>
        <w:t>协会</w:t>
      </w:r>
      <w:r>
        <w:rPr>
          <w:rFonts w:ascii="仿宋" w:hAnsi="仿宋" w:eastAsia="仿宋"/>
          <w:sz w:val="32"/>
          <w:szCs w:val="32"/>
        </w:rPr>
        <w:t>宗旨相关的事业。</w:t>
      </w:r>
    </w:p>
    <w:p w14:paraId="6FBC38AC">
      <w:pPr>
        <w:jc w:val="center"/>
        <w:rPr>
          <w:rFonts w:ascii="仿宋" w:hAnsi="仿宋" w:eastAsia="仿宋"/>
          <w:b/>
          <w:sz w:val="32"/>
          <w:szCs w:val="32"/>
        </w:rPr>
      </w:pPr>
      <w:r>
        <w:rPr>
          <w:rFonts w:ascii="仿宋" w:hAnsi="仿宋" w:eastAsia="仿宋"/>
          <w:b/>
          <w:sz w:val="32"/>
          <w:szCs w:val="32"/>
        </w:rPr>
        <w:t>第八章</w:t>
      </w:r>
      <w:r>
        <w:rPr>
          <w:rFonts w:hint="eastAsia" w:ascii="仿宋" w:hAnsi="仿宋" w:eastAsia="仿宋"/>
          <w:b/>
          <w:sz w:val="32"/>
          <w:szCs w:val="32"/>
        </w:rPr>
        <w:t xml:space="preserve"> </w:t>
      </w:r>
      <w:r>
        <w:rPr>
          <w:rFonts w:ascii="仿宋" w:hAnsi="仿宋" w:eastAsia="仿宋"/>
          <w:b/>
          <w:sz w:val="32"/>
          <w:szCs w:val="32"/>
        </w:rPr>
        <w:t>附则</w:t>
      </w:r>
    </w:p>
    <w:p w14:paraId="5FDF7988">
      <w:pPr>
        <w:rPr>
          <w:rFonts w:ascii="仿宋" w:hAnsi="仿宋" w:eastAsia="仿宋"/>
          <w:sz w:val="32"/>
          <w:szCs w:val="32"/>
        </w:rPr>
      </w:pPr>
      <w:r>
        <w:rPr>
          <w:rFonts w:ascii="仿宋" w:hAnsi="仿宋" w:eastAsia="仿宋"/>
          <w:sz w:val="32"/>
          <w:szCs w:val="32"/>
        </w:rPr>
        <w:t>　　第四十</w:t>
      </w:r>
      <w:r>
        <w:rPr>
          <w:rFonts w:hint="eastAsia" w:ascii="仿宋" w:hAnsi="仿宋" w:eastAsia="仿宋"/>
          <w:sz w:val="32"/>
          <w:szCs w:val="32"/>
          <w:lang w:val="en-US" w:eastAsia="zh-CN"/>
        </w:rPr>
        <w:t>六</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本章程经</w:t>
      </w:r>
      <w:r>
        <w:rPr>
          <w:rFonts w:hint="eastAsia" w:ascii="仿宋" w:hAnsi="仿宋" w:eastAsia="仿宋"/>
          <w:sz w:val="32"/>
          <w:szCs w:val="32"/>
          <w:lang w:val="en-US" w:eastAsia="zh-CN"/>
        </w:rPr>
        <w:t>2020</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12</w:t>
      </w:r>
      <w:r>
        <w:rPr>
          <w:rFonts w:ascii="仿宋" w:hAnsi="仿宋" w:eastAsia="仿宋"/>
          <w:sz w:val="32"/>
          <w:szCs w:val="32"/>
        </w:rPr>
        <w:t>日会员大会表决通过。</w:t>
      </w:r>
    </w:p>
    <w:p w14:paraId="22BC32AE">
      <w:pPr>
        <w:rPr>
          <w:rFonts w:ascii="仿宋" w:hAnsi="仿宋" w:eastAsia="仿宋"/>
          <w:sz w:val="32"/>
          <w:szCs w:val="32"/>
        </w:rPr>
      </w:pPr>
      <w:r>
        <w:rPr>
          <w:rFonts w:ascii="仿宋" w:hAnsi="仿宋" w:eastAsia="仿宋"/>
          <w:sz w:val="32"/>
          <w:szCs w:val="32"/>
        </w:rPr>
        <w:t>　　第</w:t>
      </w:r>
      <w:r>
        <w:rPr>
          <w:rFonts w:hint="eastAsia" w:ascii="仿宋" w:hAnsi="仿宋" w:eastAsia="仿宋"/>
          <w:sz w:val="32"/>
          <w:szCs w:val="32"/>
          <w:lang w:val="en-US" w:eastAsia="zh-CN"/>
        </w:rPr>
        <w:t>四十七</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本章程</w:t>
      </w:r>
      <w:r>
        <w:rPr>
          <w:rFonts w:hint="eastAsia" w:ascii="仿宋" w:hAnsi="仿宋" w:eastAsia="仿宋"/>
          <w:sz w:val="32"/>
          <w:szCs w:val="32"/>
          <w:lang w:val="en-US" w:eastAsia="zh-CN"/>
        </w:rPr>
        <w:t>由协会理事会负责解释，修改时亦同</w:t>
      </w:r>
      <w:r>
        <w:rPr>
          <w:rFonts w:ascii="仿宋" w:hAnsi="仿宋" w:eastAsia="仿宋"/>
          <w:sz w:val="32"/>
          <w:szCs w:val="32"/>
        </w:rPr>
        <w:t>。</w:t>
      </w:r>
    </w:p>
    <w:p w14:paraId="46C8DE18">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val="en-US" w:eastAsia="zh-CN"/>
        </w:rPr>
        <w:t>四十八</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本章程自社团登记管理机关核准之日起生效。</w:t>
      </w:r>
    </w:p>
    <w:p w14:paraId="7FEF1DA1">
      <w:pPr>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14:paraId="22788463">
      <w:pPr>
        <w:pStyle w:val="2"/>
        <w:pageBreakBefore w:val="0"/>
        <w:widowControl w:val="0"/>
        <w:kinsoku/>
        <w:wordWrap/>
        <w:overflowPunct/>
        <w:topLinePunct w:val="0"/>
        <w:autoSpaceDE/>
        <w:autoSpaceDN/>
        <w:bidi w:val="0"/>
        <w:adjustRightInd/>
        <w:snapToGrid/>
        <w:spacing w:before="0" w:beforeLines="0" w:after="0" w:afterLines="0" w:line="480" w:lineRule="auto"/>
        <w:jc w:val="left"/>
        <w:textAlignment w:val="auto"/>
        <w:rPr>
          <w:rFonts w:hint="default" w:ascii="仿宋" w:hAnsi="仿宋" w:eastAsia="仿宋" w:cs="Arial"/>
          <w:b w:val="0"/>
          <w:color w:val="000000"/>
          <w:kern w:val="0"/>
          <w:sz w:val="30"/>
          <w:szCs w:val="30"/>
          <w:lang w:val="en-US" w:eastAsia="zh-CN" w:bidi="ar-SA"/>
        </w:rPr>
      </w:pPr>
      <w:bookmarkStart w:id="0" w:name="_Toc10632"/>
      <w:r>
        <w:rPr>
          <w:rFonts w:hint="eastAsia" w:ascii="仿宋" w:hAnsi="仿宋" w:eastAsia="仿宋" w:cs="Arial"/>
          <w:b w:val="0"/>
          <w:color w:val="000000"/>
          <w:kern w:val="0"/>
          <w:sz w:val="30"/>
          <w:szCs w:val="30"/>
          <w:lang w:val="en-US" w:eastAsia="zh-CN" w:bidi="ar-SA"/>
        </w:rPr>
        <w:t>附件五：</w:t>
      </w:r>
    </w:p>
    <w:p w14:paraId="4D5FFC62">
      <w:pPr>
        <w:pStyle w:val="2"/>
        <w:pageBreakBefore w:val="0"/>
        <w:widowControl w:val="0"/>
        <w:kinsoku/>
        <w:wordWrap/>
        <w:overflowPunct/>
        <w:topLinePunct w:val="0"/>
        <w:autoSpaceDE/>
        <w:autoSpaceDN/>
        <w:bidi w:val="0"/>
        <w:adjustRightInd/>
        <w:snapToGrid/>
        <w:spacing w:before="0" w:beforeLines="0" w:after="0" w:afterLines="0" w:line="480" w:lineRule="auto"/>
        <w:jc w:val="center"/>
        <w:textAlignment w:val="auto"/>
        <w:rPr>
          <w:rFonts w:hint="eastAsia"/>
          <w:lang w:val="en-US" w:eastAsia="zh-CN"/>
        </w:rPr>
      </w:pPr>
      <w:r>
        <w:rPr>
          <w:rFonts w:hint="eastAsia"/>
          <w:lang w:val="en-US" w:eastAsia="zh-CN"/>
        </w:rPr>
        <w:t>陕西省融资担保业协会</w:t>
      </w:r>
      <w:bookmarkEnd w:id="0"/>
    </w:p>
    <w:p w14:paraId="2D868F4E">
      <w:pPr>
        <w:pStyle w:val="2"/>
        <w:pageBreakBefore w:val="0"/>
        <w:widowControl w:val="0"/>
        <w:kinsoku/>
        <w:wordWrap/>
        <w:overflowPunct/>
        <w:topLinePunct w:val="0"/>
        <w:autoSpaceDE/>
        <w:autoSpaceDN/>
        <w:bidi w:val="0"/>
        <w:adjustRightInd/>
        <w:snapToGrid/>
        <w:spacing w:before="0" w:beforeLines="0" w:after="0" w:afterLines="0" w:line="480" w:lineRule="auto"/>
        <w:jc w:val="center"/>
        <w:textAlignment w:val="auto"/>
        <w:rPr>
          <w:rFonts w:hint="eastAsia"/>
          <w:lang w:val="en-US" w:eastAsia="zh-CN"/>
        </w:rPr>
      </w:pPr>
      <w:bookmarkStart w:id="1" w:name="_Toc14875"/>
      <w:r>
        <w:rPr>
          <w:rFonts w:hint="eastAsia"/>
          <w:lang w:val="en-US" w:eastAsia="zh-CN"/>
        </w:rPr>
        <w:t>会费收取标准及管理办法</w:t>
      </w:r>
      <w:bookmarkEnd w:id="1"/>
    </w:p>
    <w:p w14:paraId="4E6FD4B6">
      <w:pPr>
        <w:pStyle w:val="2"/>
        <w:pageBreakBefore w:val="0"/>
        <w:widowControl w:val="0"/>
        <w:kinsoku/>
        <w:wordWrap/>
        <w:overflowPunct/>
        <w:topLinePunct w:val="0"/>
        <w:autoSpaceDE/>
        <w:autoSpaceDN/>
        <w:bidi w:val="0"/>
        <w:adjustRightInd/>
        <w:snapToGrid/>
        <w:spacing w:before="0" w:beforeLines="0" w:after="0" w:afterLines="0" w:line="480" w:lineRule="auto"/>
        <w:jc w:val="center"/>
        <w:textAlignment w:val="auto"/>
        <w:rPr>
          <w:rFonts w:hint="default"/>
          <w:lang w:val="en-US" w:eastAsia="zh-CN"/>
        </w:rPr>
      </w:pPr>
    </w:p>
    <w:p w14:paraId="741EF5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第一条</w:t>
      </w:r>
      <w:r>
        <w:rPr>
          <w:rFonts w:hint="eastAsia" w:ascii="仿宋" w:hAnsi="仿宋" w:eastAsia="仿宋" w:cs="仿宋"/>
          <w:sz w:val="32"/>
          <w:szCs w:val="32"/>
        </w:rPr>
        <w:t>根据国务院《社会团体登记管理条例》和民政部、财政部《关于调整社会团体会费政策等有关问题的通知》及《陕西省融资担保业协会章程》的规定，为保证行业协会履行职责具有稳定的经费来源，特制定本办法。</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第二条本办法适用于陕西省融资担保业协会</w:t>
      </w:r>
      <w:r>
        <w:rPr>
          <w:rFonts w:hint="eastAsia" w:ascii="仿宋" w:hAnsi="仿宋" w:eastAsia="仿宋" w:cs="仿宋"/>
          <w:sz w:val="32"/>
          <w:szCs w:val="32"/>
          <w:highlight w:val="none"/>
          <w:lang w:eastAsia="zh-CN"/>
        </w:rPr>
        <w:t>（</w:t>
      </w:r>
      <w:r>
        <w:rPr>
          <w:rFonts w:hint="eastAsia" w:ascii="仿宋" w:hAnsi="仿宋" w:eastAsia="仿宋" w:cs="仿宋"/>
          <w:sz w:val="32"/>
          <w:szCs w:val="32"/>
        </w:rPr>
        <w:t>以下简称本协会</w:t>
      </w:r>
      <w:r>
        <w:rPr>
          <w:rFonts w:hint="eastAsia" w:ascii="仿宋" w:hAnsi="仿宋" w:eastAsia="仿宋" w:cs="仿宋"/>
          <w:sz w:val="32"/>
          <w:szCs w:val="32"/>
          <w:highlight w:val="none"/>
          <w:lang w:eastAsia="zh-CN"/>
        </w:rPr>
        <w:t>）</w:t>
      </w:r>
      <w:r>
        <w:rPr>
          <w:rFonts w:hint="eastAsia" w:ascii="仿宋" w:hAnsi="仿宋" w:eastAsia="仿宋" w:cs="仿宋"/>
          <w:sz w:val="32"/>
          <w:szCs w:val="32"/>
        </w:rPr>
        <w:t>所有会员。</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第三条本协会会员向协会缴纳会费的基本原则是按时、足额缴纳会费。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第四条本协会会议缴纳会费的标准为一年度:</w:t>
      </w:r>
    </w:p>
    <w:p w14:paraId="0450F63C">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会长单位: 100000元/年</w:t>
      </w:r>
      <w:r>
        <w:rPr>
          <w:rFonts w:hint="eastAsia" w:ascii="仿宋" w:hAnsi="仿宋" w:eastAsia="仿宋" w:cs="仿宋"/>
          <w:sz w:val="32"/>
          <w:szCs w:val="32"/>
        </w:rPr>
        <w:br w:type="textWrapping"/>
      </w:r>
      <w:r>
        <w:rPr>
          <w:rFonts w:hint="eastAsia" w:ascii="仿宋" w:hAnsi="仿宋" w:eastAsia="仿宋" w:cs="仿宋"/>
          <w:sz w:val="32"/>
          <w:szCs w:val="32"/>
        </w:rPr>
        <w:t>2、副会长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监事长</w:t>
      </w:r>
      <w:r>
        <w:rPr>
          <w:rFonts w:hint="eastAsia" w:ascii="仿宋" w:hAnsi="仿宋" w:eastAsia="仿宋" w:cs="仿宋"/>
          <w:sz w:val="32"/>
          <w:szCs w:val="32"/>
          <w:lang w:eastAsia="zh-CN"/>
        </w:rPr>
        <w:t>）</w:t>
      </w:r>
      <w:r>
        <w:rPr>
          <w:rFonts w:hint="eastAsia" w:ascii="仿宋" w:hAnsi="仿宋" w:eastAsia="仿宋" w:cs="仿宋"/>
          <w:sz w:val="32"/>
          <w:szCs w:val="32"/>
        </w:rPr>
        <w:t>单位: 50000 元/年</w:t>
      </w:r>
    </w:p>
    <w:p w14:paraId="0C2A7F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304"/>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理事</w:t>
      </w:r>
      <w:r>
        <w:rPr>
          <w:rFonts w:hint="eastAsia" w:ascii="仿宋" w:hAnsi="仿宋" w:eastAsia="仿宋" w:cs="仿宋"/>
          <w:sz w:val="32"/>
          <w:szCs w:val="32"/>
          <w:highlight w:val="none"/>
          <w:lang w:eastAsia="zh-CN"/>
        </w:rPr>
        <w:t>（</w:t>
      </w:r>
      <w:r>
        <w:rPr>
          <w:rFonts w:hint="eastAsia" w:ascii="仿宋" w:hAnsi="仿宋" w:eastAsia="仿宋" w:cs="仿宋"/>
          <w:sz w:val="32"/>
          <w:szCs w:val="32"/>
        </w:rPr>
        <w:t>监事</w:t>
      </w:r>
      <w:r>
        <w:rPr>
          <w:rFonts w:hint="eastAsia" w:ascii="仿宋" w:hAnsi="仿宋" w:eastAsia="仿宋" w:cs="仿宋"/>
          <w:sz w:val="32"/>
          <w:szCs w:val="32"/>
          <w:highlight w:val="none"/>
          <w:lang w:eastAsia="zh-CN"/>
        </w:rPr>
        <w:t>）</w:t>
      </w:r>
      <w:r>
        <w:rPr>
          <w:rFonts w:hint="eastAsia" w:ascii="仿宋" w:hAnsi="仿宋" w:eastAsia="仿宋" w:cs="仿宋"/>
          <w:sz w:val="32"/>
          <w:szCs w:val="32"/>
        </w:rPr>
        <w:t>单位: 30000元/年</w:t>
      </w:r>
    </w:p>
    <w:p w14:paraId="6FC34D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304"/>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会员单位:5000元</w:t>
      </w:r>
      <w:r>
        <w:rPr>
          <w:rFonts w:hint="eastAsia" w:ascii="仿宋" w:hAnsi="仿宋" w:eastAsia="仿宋" w:cs="仿宋"/>
          <w:sz w:val="32"/>
          <w:szCs w:val="32"/>
          <w:lang w:val="en-US" w:eastAsia="zh-CN"/>
        </w:rPr>
        <w:t>/年</w:t>
      </w:r>
    </w:p>
    <w:p w14:paraId="190840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第五条经费用途</w:t>
      </w:r>
      <w:r>
        <w:rPr>
          <w:rFonts w:hint="eastAsia" w:ascii="仿宋" w:hAnsi="仿宋" w:eastAsia="仿宋" w:cs="仿宋"/>
          <w:sz w:val="32"/>
          <w:szCs w:val="32"/>
        </w:rPr>
        <w:br w:type="textWrapping"/>
      </w:r>
      <w:r>
        <w:rPr>
          <w:rFonts w:hint="eastAsia" w:ascii="仿宋" w:hAnsi="仿宋" w:eastAsia="仿宋" w:cs="仿宋"/>
          <w:sz w:val="32"/>
          <w:szCs w:val="32"/>
        </w:rPr>
        <w:t>1、资料、报刊编制印刷费用</w:t>
      </w:r>
    </w:p>
    <w:p w14:paraId="0074769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行业调研、咨询费用</w:t>
      </w:r>
    </w:p>
    <w:p w14:paraId="7A9C286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协会</w:t>
      </w:r>
      <w:r>
        <w:rPr>
          <w:rFonts w:hint="eastAsia" w:ascii="仿宋" w:hAnsi="仿宋" w:eastAsia="仿宋" w:cs="仿宋"/>
          <w:sz w:val="32"/>
          <w:szCs w:val="32"/>
        </w:rPr>
        <w:t>会议费用</w:t>
      </w:r>
    </w:p>
    <w:p w14:paraId="3DC610DA">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培训、考察、讲学费用</w:t>
      </w:r>
    </w:p>
    <w:p w14:paraId="00866CF0">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表彰先进和成果奖励费用</w:t>
      </w:r>
    </w:p>
    <w:p w14:paraId="212B5499">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出版信息费用</w:t>
      </w:r>
    </w:p>
    <w:p w14:paraId="03F39C1A">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财政上缴费用</w:t>
      </w:r>
    </w:p>
    <w:p w14:paraId="5D1D6925">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工作人员工资及其他费用</w:t>
      </w:r>
    </w:p>
    <w:p w14:paraId="39D1C4FF">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第六条</w:t>
      </w:r>
      <w:r>
        <w:rPr>
          <w:rFonts w:hint="eastAsia" w:ascii="仿宋" w:hAnsi="仿宋" w:eastAsia="仿宋" w:cs="仿宋"/>
          <w:sz w:val="32"/>
          <w:szCs w:val="32"/>
        </w:rPr>
        <w:t>会费标准根据协会职能的落实、业务量的调整、物价指数的变化等因素，按程序进行适当调整。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第七条会员缴纳会费的时间为每年的3月末以前。</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第八条本协会会费使用原则是:严格按本办法第五条的规定执行。并应合理核定，预算控制，审计监督。</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第九条会员缴纳会费由本协会秘书处收取，开具“社会团体会费统一收据”。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第十条本协会对未按照规定交纳会费的会员，可采取以下措施</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rPr>
        <w:t>限期缴纳会费</w:t>
      </w:r>
    </w:p>
    <w:p w14:paraId="62E2EC66">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lang w:eastAsia="zh-CN"/>
        </w:rPr>
        <w:t>（</w:t>
      </w:r>
      <w:r>
        <w:rPr>
          <w:rFonts w:hint="eastAsia" w:ascii="仿宋" w:hAnsi="仿宋" w:eastAsia="仿宋" w:cs="仿宋"/>
          <w:sz w:val="32"/>
          <w:szCs w:val="32"/>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rPr>
        <w:t>予以通报</w:t>
      </w:r>
    </w:p>
    <w:p w14:paraId="72668060">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rPr>
        <w:t>限制其行使《陕西省融资担保业协会章程》第十一条的部分权利。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rPr>
        <w:t>一年不缴纳会费的，视同自动退会。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第十一条本协会会费实行预算管理，每年会费开支预</w:t>
      </w:r>
      <w:r>
        <w:rPr>
          <w:rFonts w:hint="eastAsia" w:ascii="仿宋" w:hAnsi="仿宋" w:eastAsia="仿宋" w:cs="仿宋"/>
          <w:sz w:val="32"/>
          <w:szCs w:val="32"/>
          <w:lang w:val="en-US" w:eastAsia="zh-CN"/>
        </w:rPr>
        <w:t>算</w:t>
      </w:r>
      <w:r>
        <w:rPr>
          <w:rFonts w:hint="eastAsia" w:ascii="仿宋" w:hAnsi="仿宋" w:eastAsia="仿宋" w:cs="仿宋"/>
          <w:sz w:val="32"/>
          <w:szCs w:val="32"/>
        </w:rPr>
        <w:t>由会长提出，经理事会审批。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第十二条会费的收支情况，应按时向理事会报告。年度支出应由理事会审议通过。</w:t>
      </w:r>
    </w:p>
    <w:p w14:paraId="2FB977A4">
      <w:pPr>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第十三条本协会秘书处负责会费的日常使用管理和监督，应在严格执行财务制度和预算的前提下，厉行节约，加强费用使用管理、监督和控制。</w:t>
      </w:r>
    </w:p>
    <w:p w14:paraId="596678FD">
      <w:pPr>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第十四条本办法由协会理事会负责解，修改时亦同。</w:t>
      </w:r>
    </w:p>
    <w:p w14:paraId="0535BB72">
      <w:pPr>
        <w:ind w:firstLine="640" w:firstLineChars="200"/>
        <w:rPr>
          <w:rFonts w:ascii="仿宋" w:hAnsi="仿宋" w:eastAsia="仿宋"/>
          <w:sz w:val="32"/>
          <w:szCs w:val="32"/>
        </w:rPr>
      </w:pPr>
      <w:r>
        <w:rPr>
          <w:rFonts w:hint="eastAsia" w:ascii="仿宋" w:hAnsi="仿宋" w:eastAsia="仿宋" w:cs="仿宋"/>
          <w:sz w:val="32"/>
          <w:szCs w:val="32"/>
          <w:lang w:val="en-US" w:eastAsia="zh-CN"/>
        </w:rPr>
        <w:t>第十五条本办法经2020年6月12日会员大会通过之时起生效。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573401"/>
      <w:docPartObj>
        <w:docPartGallery w:val="autotext"/>
      </w:docPartObj>
    </w:sdtPr>
    <w:sdtContent>
      <w:p w14:paraId="382EF686">
        <w:pPr>
          <w:pStyle w:val="3"/>
          <w:jc w:val="center"/>
        </w:pPr>
        <w:r>
          <w:fldChar w:fldCharType="begin"/>
        </w:r>
        <w:r>
          <w:instrText xml:space="preserve">PAGE   \* MERGEFORMAT</w:instrText>
        </w:r>
        <w:r>
          <w:fldChar w:fldCharType="separate"/>
        </w:r>
        <w:r>
          <w:rPr>
            <w:lang w:val="zh-CN"/>
          </w:rPr>
          <w:t>5</w:t>
        </w:r>
        <w:r>
          <w:fldChar w:fldCharType="end"/>
        </w:r>
      </w:p>
    </w:sdtContent>
  </w:sdt>
  <w:p w14:paraId="3301EE7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787D"/>
    <w:multiLevelType w:val="multilevel"/>
    <w:tmpl w:val="0358787D"/>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394454"/>
    <w:multiLevelType w:val="multilevel"/>
    <w:tmpl w:val="0B394454"/>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3AA4588"/>
    <w:multiLevelType w:val="multilevel"/>
    <w:tmpl w:val="33AA4588"/>
    <w:lvl w:ilvl="0" w:tentative="0">
      <w:start w:val="7"/>
      <w:numFmt w:val="japaneseCounting"/>
      <w:lvlText w:val="第%1条"/>
      <w:lvlJc w:val="left"/>
      <w:pPr>
        <w:ind w:left="1720" w:hanging="108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A2EAC0C"/>
    <w:multiLevelType w:val="singleLevel"/>
    <w:tmpl w:val="4A2EAC0C"/>
    <w:lvl w:ilvl="0" w:tentative="0">
      <w:start w:val="1"/>
      <w:numFmt w:val="decimal"/>
      <w:suff w:val="nothing"/>
      <w:lvlText w:val="%1、"/>
      <w:lvlJc w:val="left"/>
    </w:lvl>
  </w:abstractNum>
  <w:abstractNum w:abstractNumId="4">
    <w:nsid w:val="6FA71793"/>
    <w:multiLevelType w:val="multilevel"/>
    <w:tmpl w:val="6FA71793"/>
    <w:lvl w:ilvl="0" w:tentative="0">
      <w:start w:val="1"/>
      <w:numFmt w:val="japaneseCounting"/>
      <w:lvlText w:val="第%1条"/>
      <w:lvlJc w:val="left"/>
      <w:pPr>
        <w:ind w:left="1620" w:hanging="990"/>
      </w:pPr>
      <w:rPr>
        <w:rFonts w:hint="default" w:ascii="仿宋" w:hAnsi="仿宋" w:eastAsia="仿宋"/>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GZjZTUwODZkOTViZTYzMDc5MGNjODI1OWZiMDAifQ=="/>
  </w:docVars>
  <w:rsids>
    <w:rsidRoot w:val="650F43EC"/>
    <w:rsid w:val="25F32003"/>
    <w:rsid w:val="2F474E7A"/>
    <w:rsid w:val="3FDA6415"/>
    <w:rsid w:val="4E9A0EF5"/>
    <w:rsid w:val="5ECC36E3"/>
    <w:rsid w:val="650F43EC"/>
    <w:rsid w:val="6D8A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5365</Words>
  <Characters>5512</Characters>
  <Lines>0</Lines>
  <Paragraphs>0</Paragraphs>
  <TotalTime>8</TotalTime>
  <ScaleCrop>false</ScaleCrop>
  <LinksUpToDate>false</LinksUpToDate>
  <CharactersWithSpaces>5928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2020-12-09T03:26:00Z</dcterms:created>
  <dc:creator>冰冰</dc:creator>
  <cp:lastModifiedBy>冰冰</cp:lastModifiedBy>
  <dcterms:modified xsi:type="dcterms:W3CDTF">2024-07-31T08:49:56Z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BF521152844E4EFA8A09967C46C63127_13</vt:lpwstr>
  </property>
</Properties>
</file>